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rsidR="0041600B" w:rsidRPr="0041600B" w:rsidRDefault="0041600B" w:rsidP="0041600B">
      <w:pPr>
        <w:spacing w:before="100" w:beforeAutospacing="1" w:after="100" w:afterAutospacing="1"/>
        <w:rPr>
          <w:rFonts w:eastAsia="Times New Roman"/>
          <w:color w:val="auto"/>
        </w:rPr>
      </w:pPr>
      <w:bookmarkStart w:id="0" w:name="_GoBack"/>
      <w:bookmarkEnd w:id="0"/>
      <w:r w:rsidRPr="0041600B">
        <w:rPr>
          <w:rFonts w:eastAsia="Times New Roman"/>
          <w:b/>
          <w:bCs/>
          <w:color w:val="auto"/>
        </w:rPr>
        <w:t>Phil Weinstein / Accomplishments -- March 2015 -- Edit 4-02-2015</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0" w:type="dxa"/>
          <w:left w:w="150" w:type="dxa"/>
          <w:bottom w:w="150" w:type="dxa"/>
          <w:right w:w="150" w:type="dxa"/>
        </w:tblCellMar>
        <w:tblLook w:val="04A0" w:firstRow="1" w:lastRow="0" w:firstColumn="1" w:lastColumn="0" w:noHBand="0" w:noVBand="1"/>
      </w:tblPr>
      <w:tblGrid>
        <w:gridCol w:w="4437"/>
      </w:tblGrid>
      <w:tr w:rsidR="0041600B" w:rsidRPr="0041600B" w:rsidTr="0041600B">
        <w:trPr>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rsidR="0041600B" w:rsidRPr="0041600B" w:rsidRDefault="0041600B" w:rsidP="0041600B">
            <w:pPr>
              <w:rPr>
                <w:rFonts w:eastAsia="Times New Roman"/>
                <w:color w:val="auto"/>
              </w:rPr>
            </w:pPr>
            <w:r w:rsidRPr="0041600B">
              <w:rPr>
                <w:rFonts w:eastAsia="Times New Roman"/>
                <w:b/>
                <w:bCs/>
                <w:color w:val="auto"/>
              </w:rPr>
              <w:t>General Development Accomplishments</w:t>
            </w:r>
          </w:p>
        </w:tc>
      </w:tr>
    </w:tbl>
    <w:p w:rsidR="0041600B" w:rsidRPr="0041600B" w:rsidRDefault="0041600B" w:rsidP="0041600B">
      <w:pPr>
        <w:spacing w:before="100" w:beforeAutospacing="1" w:after="100" w:afterAutospacing="1"/>
        <w:rPr>
          <w:rFonts w:eastAsia="Times New Roman"/>
          <w:color w:val="auto"/>
        </w:rPr>
      </w:pPr>
      <w:proofErr w:type="gramStart"/>
      <w:r w:rsidRPr="0041600B">
        <w:rPr>
          <w:rFonts w:eastAsia="Times New Roman"/>
          <w:color w:val="auto"/>
        </w:rPr>
        <w:t>--------------------------------------------</w:t>
      </w:r>
      <w:proofErr w:type="gramEnd"/>
      <w:r w:rsidRPr="0041600B">
        <w:rPr>
          <w:rFonts w:eastAsia="Times New Roman"/>
          <w:color w:val="auto"/>
        </w:rPr>
        <w:br/>
        <w:t>[I.A] New/Enhanced Software / BOR-ABQ #3</w:t>
      </w:r>
      <w:r w:rsidRPr="0041600B">
        <w:rPr>
          <w:rFonts w:eastAsia="Times New Roman"/>
          <w:color w:val="auto"/>
        </w:rPr>
        <w:br/>
        <w:t>   Graphical Teacup and Animation for Links / "Output Canvas" Output Device</w:t>
      </w:r>
      <w:r w:rsidRPr="0041600B">
        <w:rPr>
          <w:rFonts w:eastAsia="Times New Roman"/>
          <w:color w:val="auto"/>
        </w:rPr>
        <w:br/>
        <w:t xml:space="preserve">-------------------------------------------- </w:t>
      </w:r>
    </w:p>
    <w:p w:rsidR="0041600B" w:rsidRPr="0041600B" w:rsidRDefault="0041600B" w:rsidP="0041600B">
      <w:pPr>
        <w:spacing w:before="100" w:beforeAutospacing="1" w:after="100" w:afterAutospacing="1"/>
        <w:rPr>
          <w:rFonts w:eastAsia="Times New Roman"/>
          <w:color w:val="auto"/>
        </w:rPr>
      </w:pPr>
      <w:r w:rsidRPr="0041600B">
        <w:rPr>
          <w:rFonts w:eastAsia="Times New Roman"/>
          <w:color w:val="auto"/>
        </w:rPr>
        <w:t xml:space="preserve">Support for Output Canvas Flow Lines for RiverWare 6.7 was substantially completed in the prior month (February 2015). In March, the following issue was addressed and the code changes were again reviewed, and merged with the 6.7 development </w:t>
      </w:r>
      <w:proofErr w:type="spellStart"/>
      <w:r w:rsidRPr="0041600B">
        <w:rPr>
          <w:rFonts w:eastAsia="Times New Roman"/>
          <w:color w:val="auto"/>
        </w:rPr>
        <w:t>git</w:t>
      </w:r>
      <w:proofErr w:type="spellEnd"/>
      <w:r w:rsidRPr="0041600B">
        <w:rPr>
          <w:rFonts w:eastAsia="Times New Roman"/>
          <w:color w:val="auto"/>
        </w:rPr>
        <w:t xml:space="preserve"> branch. </w:t>
      </w:r>
    </w:p>
    <w:p w:rsidR="0041600B" w:rsidRPr="0041600B" w:rsidRDefault="0041600B" w:rsidP="0041600B">
      <w:pPr>
        <w:spacing w:before="100" w:beforeAutospacing="1" w:after="100" w:afterAutospacing="1"/>
        <w:rPr>
          <w:rFonts w:eastAsia="Times New Roman"/>
          <w:color w:val="auto"/>
        </w:rPr>
      </w:pPr>
      <w:r w:rsidRPr="0041600B">
        <w:rPr>
          <w:rFonts w:eastAsia="Times New Roman"/>
          <w:color w:val="auto"/>
        </w:rPr>
        <w:t xml:space="preserve">Object Icons on the Output Canvas were introduced in last month's Flow Lines development. These are associated with actual "live instances" of simulation objects (as are teacups). To benefit from all of the relevant ancillary features of teacups, e.g. associated dynamic text items uniformly referring to slots on the simulation object, object icons had been implemented as a </w:t>
      </w:r>
      <w:r w:rsidRPr="0041600B">
        <w:rPr>
          <w:rFonts w:eastAsia="Times New Roman"/>
          <w:i/>
          <w:iCs/>
          <w:color w:val="auto"/>
        </w:rPr>
        <w:t>special mode</w:t>
      </w:r>
      <w:r w:rsidRPr="0041600B">
        <w:rPr>
          <w:rFonts w:eastAsia="Times New Roman"/>
          <w:color w:val="auto"/>
        </w:rPr>
        <w:t xml:space="preserve"> of the teacup graphical item class. Dynamic switching between a teacup and object icon appearance had been tested, but we decided against this presentation. Instead, object icons are presented as a completely different sort of output canvas object, organized in their own object icon groups. </w:t>
      </w:r>
      <w:proofErr w:type="gramStart"/>
      <w:r w:rsidRPr="0041600B">
        <w:rPr>
          <w:rFonts w:eastAsia="Times New Roman"/>
          <w:color w:val="auto"/>
        </w:rPr>
        <w:t xml:space="preserve">Left over from that development had been some incorrect semantics of settings, operations, and tooltips, still referring to </w:t>
      </w:r>
      <w:r w:rsidRPr="0041600B">
        <w:rPr>
          <w:rFonts w:eastAsia="Times New Roman"/>
          <w:i/>
          <w:iCs/>
          <w:color w:val="auto"/>
        </w:rPr>
        <w:t>teacups</w:t>
      </w:r>
      <w:r w:rsidRPr="0041600B">
        <w:rPr>
          <w:rFonts w:eastAsia="Times New Roman"/>
          <w:color w:val="auto"/>
        </w:rPr>
        <w:t xml:space="preserve"> when in an object icon / object icon group context.</w:t>
      </w:r>
      <w:proofErr w:type="gramEnd"/>
      <w:r w:rsidRPr="0041600B">
        <w:rPr>
          <w:rFonts w:eastAsia="Times New Roman"/>
          <w:color w:val="auto"/>
        </w:rPr>
        <w:t xml:space="preserve"> Additionally, a separate "Delete All Object Icons" operation was added.</w:t>
      </w:r>
    </w:p>
    <w:p w:rsidR="0041600B" w:rsidRPr="0041600B" w:rsidRDefault="0041600B" w:rsidP="0041600B">
      <w:pPr>
        <w:spacing w:before="100" w:beforeAutospacing="1" w:after="100" w:afterAutospacing="1"/>
        <w:rPr>
          <w:rFonts w:eastAsia="Times New Roman"/>
          <w:color w:val="auto"/>
        </w:rPr>
      </w:pPr>
      <w:proofErr w:type="gramStart"/>
      <w:r w:rsidRPr="0041600B">
        <w:rPr>
          <w:rFonts w:eastAsia="Times New Roman"/>
          <w:color w:val="auto"/>
        </w:rPr>
        <w:t>--------------------------------------------</w:t>
      </w:r>
      <w:proofErr w:type="gramEnd"/>
      <w:r w:rsidRPr="0041600B">
        <w:rPr>
          <w:rFonts w:eastAsia="Times New Roman"/>
          <w:color w:val="auto"/>
        </w:rPr>
        <w:br/>
        <w:t>[I.A] New/Enhanced Software / BOR-ABQ #6</w:t>
      </w:r>
      <w:r w:rsidRPr="0041600B">
        <w:rPr>
          <w:rFonts w:eastAsia="Times New Roman"/>
          <w:color w:val="auto"/>
        </w:rPr>
        <w:br/>
        <w:t>   Display RPL Predefined Function Help Content in RiverWare 6.7</w:t>
      </w:r>
      <w:r w:rsidRPr="0041600B">
        <w:rPr>
          <w:rFonts w:eastAsia="Times New Roman"/>
          <w:color w:val="auto"/>
        </w:rPr>
        <w:br/>
        <w:t xml:space="preserve">-------------------------------------------- </w:t>
      </w:r>
    </w:p>
    <w:p w:rsidR="0041600B" w:rsidRPr="0041600B" w:rsidRDefault="0041600B" w:rsidP="0041600B">
      <w:pPr>
        <w:spacing w:before="100" w:beforeAutospacing="1" w:after="100" w:afterAutospacing="1"/>
        <w:rPr>
          <w:rFonts w:eastAsia="Times New Roman"/>
          <w:color w:val="auto"/>
        </w:rPr>
      </w:pPr>
      <w:r w:rsidRPr="0041600B">
        <w:rPr>
          <w:rFonts w:eastAsia="Times New Roman"/>
          <w:color w:val="auto"/>
        </w:rPr>
        <w:t xml:space="preserve">RiverWare 6.7 displays RPL Predefined Function Online Help Content -- as HTML in a </w:t>
      </w:r>
      <w:proofErr w:type="spellStart"/>
      <w:r w:rsidRPr="0041600B">
        <w:rPr>
          <w:rFonts w:eastAsia="Times New Roman"/>
          <w:color w:val="auto"/>
        </w:rPr>
        <w:t>QWebView</w:t>
      </w:r>
      <w:proofErr w:type="spellEnd"/>
      <w:r w:rsidRPr="0041600B">
        <w:rPr>
          <w:rFonts w:eastAsia="Times New Roman"/>
          <w:color w:val="auto"/>
        </w:rPr>
        <w:t xml:space="preserve"> -- in the following three dialogs:</w:t>
      </w:r>
    </w:p>
    <w:p w:rsidR="0041600B" w:rsidRPr="0041600B" w:rsidRDefault="0041600B" w:rsidP="0041600B">
      <w:pPr>
        <w:numPr>
          <w:ilvl w:val="0"/>
          <w:numId w:val="26"/>
        </w:numPr>
        <w:spacing w:before="100" w:beforeAutospacing="1" w:after="100" w:afterAutospacing="1"/>
        <w:rPr>
          <w:rFonts w:eastAsia="Times New Roman"/>
          <w:color w:val="auto"/>
        </w:rPr>
      </w:pPr>
      <w:r w:rsidRPr="0041600B">
        <w:rPr>
          <w:rFonts w:eastAsia="Times New Roman"/>
          <w:b/>
          <w:bCs/>
          <w:color w:val="auto"/>
        </w:rPr>
        <w:t>Predefined Function Editor</w:t>
      </w:r>
      <w:r w:rsidRPr="0041600B">
        <w:rPr>
          <w:rFonts w:eastAsia="Times New Roman"/>
          <w:color w:val="auto"/>
        </w:rPr>
        <w:t xml:space="preserve"> dialog.</w:t>
      </w:r>
    </w:p>
    <w:p w:rsidR="0041600B" w:rsidRPr="0041600B" w:rsidRDefault="0041600B" w:rsidP="0041600B">
      <w:pPr>
        <w:numPr>
          <w:ilvl w:val="0"/>
          <w:numId w:val="26"/>
        </w:numPr>
        <w:spacing w:before="100" w:beforeAutospacing="1" w:after="100" w:afterAutospacing="1"/>
        <w:rPr>
          <w:rFonts w:eastAsia="Times New Roman"/>
          <w:color w:val="auto"/>
        </w:rPr>
      </w:pPr>
      <w:r w:rsidRPr="0041600B">
        <w:rPr>
          <w:rFonts w:eastAsia="Times New Roman"/>
          <w:b/>
          <w:bCs/>
          <w:color w:val="auto"/>
        </w:rPr>
        <w:t>RPL Palette</w:t>
      </w:r>
      <w:r w:rsidRPr="0041600B">
        <w:rPr>
          <w:rFonts w:eastAsia="Times New Roman"/>
          <w:color w:val="auto"/>
        </w:rPr>
        <w:t xml:space="preserve"> ... on the "Predefined Functions" tab when Descriptions are shown.</w:t>
      </w:r>
    </w:p>
    <w:p w:rsidR="0041600B" w:rsidRPr="0041600B" w:rsidRDefault="0041600B" w:rsidP="0041600B">
      <w:pPr>
        <w:numPr>
          <w:ilvl w:val="0"/>
          <w:numId w:val="26"/>
        </w:numPr>
        <w:spacing w:before="100" w:beforeAutospacing="1" w:after="100" w:afterAutospacing="1"/>
        <w:rPr>
          <w:rFonts w:eastAsia="Times New Roman"/>
          <w:color w:val="auto"/>
        </w:rPr>
      </w:pPr>
      <w:r w:rsidRPr="0041600B">
        <w:rPr>
          <w:rFonts w:eastAsia="Times New Roman"/>
          <w:b/>
          <w:bCs/>
          <w:color w:val="auto"/>
        </w:rPr>
        <w:t>RPL Set Editor</w:t>
      </w:r>
      <w:r w:rsidRPr="0041600B">
        <w:rPr>
          <w:rFonts w:eastAsia="Times New Roman"/>
          <w:color w:val="auto"/>
        </w:rPr>
        <w:t xml:space="preserve"> ... when "Show Predefined Groups" and "Show Descriptions" are checked.</w:t>
      </w:r>
    </w:p>
    <w:p w:rsidR="0041600B" w:rsidRPr="0041600B" w:rsidRDefault="0041600B" w:rsidP="0041600B">
      <w:pPr>
        <w:spacing w:before="100" w:beforeAutospacing="1" w:after="100" w:afterAutospacing="1"/>
        <w:rPr>
          <w:rFonts w:eastAsia="Times New Roman"/>
          <w:color w:val="auto"/>
        </w:rPr>
      </w:pPr>
      <w:r w:rsidRPr="0041600B">
        <w:rPr>
          <w:rFonts w:eastAsia="Times New Roman"/>
          <w:color w:val="auto"/>
        </w:rPr>
        <w:t xml:space="preserve">Prior to this enhancement, panels and dialogs which normally show a user-provided description for a RPL Function, in the case of RPL </w:t>
      </w:r>
      <w:r w:rsidRPr="0041600B">
        <w:rPr>
          <w:rFonts w:eastAsia="Times New Roman"/>
          <w:i/>
          <w:iCs/>
          <w:color w:val="auto"/>
        </w:rPr>
        <w:t>Predefined</w:t>
      </w:r>
      <w:r w:rsidRPr="0041600B">
        <w:rPr>
          <w:rFonts w:eastAsia="Times New Roman"/>
          <w:color w:val="auto"/>
        </w:rPr>
        <w:t xml:space="preserve"> Functions, showed either a blank panel or the message, "See Online Help for documentation of predefined functions". These panels now show an HTML version of online documentation for the particular RPL Predefined Function. Also, a Description panel was added to the RPL Palette's "Predefined Function Tab", similar to, and controlled in parallel with the visibility of the "Description" panel on the "User-Defined Functions" tab.</w:t>
      </w:r>
    </w:p>
    <w:p w:rsidR="0041600B" w:rsidRPr="0041600B" w:rsidRDefault="0041600B" w:rsidP="0041600B">
      <w:pPr>
        <w:spacing w:before="100" w:beforeAutospacing="1" w:after="100" w:afterAutospacing="1"/>
        <w:rPr>
          <w:rFonts w:eastAsia="Times New Roman"/>
          <w:color w:val="auto"/>
        </w:rPr>
      </w:pPr>
      <w:r w:rsidRPr="0041600B">
        <w:rPr>
          <w:rFonts w:eastAsia="Times New Roman"/>
          <w:color w:val="auto"/>
        </w:rPr>
        <w:t xml:space="preserve">The Function HTML help content -- for all, approximately 200 RPL Predefined Functions -- is bound to the RiverWare executable as a Qt Resource. (A compressed copy of the full HTML page -- without images -- is part of the RiverWare executable). Referenced images are loaded at run time by </w:t>
      </w:r>
      <w:proofErr w:type="spellStart"/>
      <w:r w:rsidRPr="0041600B">
        <w:rPr>
          <w:rFonts w:eastAsia="Times New Roman"/>
          <w:color w:val="auto"/>
        </w:rPr>
        <w:t>RiverWare's</w:t>
      </w:r>
      <w:proofErr w:type="spellEnd"/>
      <w:r w:rsidRPr="0041600B">
        <w:rPr>
          <w:rFonts w:eastAsia="Times New Roman"/>
          <w:color w:val="auto"/>
        </w:rPr>
        <w:t xml:space="preserve"> integrated </w:t>
      </w:r>
      <w:proofErr w:type="spellStart"/>
      <w:r w:rsidRPr="0041600B">
        <w:rPr>
          <w:rFonts w:eastAsia="Times New Roman"/>
          <w:color w:val="auto"/>
        </w:rPr>
        <w:t>QWebKit</w:t>
      </w:r>
      <w:proofErr w:type="spellEnd"/>
      <w:r w:rsidRPr="0041600B">
        <w:rPr>
          <w:rFonts w:eastAsia="Times New Roman"/>
          <w:color w:val="auto"/>
        </w:rPr>
        <w:t>-implemented HTML browser.</w:t>
      </w:r>
    </w:p>
    <w:p w:rsidR="0041600B" w:rsidRPr="0041600B" w:rsidRDefault="0041600B" w:rsidP="0041600B">
      <w:pPr>
        <w:spacing w:before="100" w:beforeAutospacing="1" w:after="100" w:afterAutospacing="1"/>
        <w:rPr>
          <w:rFonts w:eastAsia="Times New Roman"/>
          <w:color w:val="auto"/>
        </w:rPr>
      </w:pPr>
      <w:r w:rsidRPr="0041600B">
        <w:rPr>
          <w:rFonts w:eastAsia="Times New Roman"/>
          <w:color w:val="auto"/>
        </w:rPr>
        <w:lastRenderedPageBreak/>
        <w:t xml:space="preserve">A significant part of this effort involved developing a </w:t>
      </w:r>
      <w:r w:rsidRPr="0041600B">
        <w:rPr>
          <w:rFonts w:eastAsia="Times New Roman"/>
          <w:i/>
          <w:iCs/>
          <w:color w:val="auto"/>
        </w:rPr>
        <w:t>process</w:t>
      </w:r>
      <w:r w:rsidRPr="0041600B">
        <w:rPr>
          <w:rFonts w:eastAsia="Times New Roman"/>
          <w:color w:val="auto"/>
        </w:rPr>
        <w:t xml:space="preserve"> and </w:t>
      </w:r>
      <w:r w:rsidRPr="0041600B">
        <w:rPr>
          <w:rFonts w:eastAsia="Times New Roman"/>
          <w:i/>
          <w:iCs/>
          <w:color w:val="auto"/>
        </w:rPr>
        <w:t>supporting tools</w:t>
      </w:r>
      <w:r w:rsidRPr="0041600B">
        <w:rPr>
          <w:rFonts w:eastAsia="Times New Roman"/>
          <w:color w:val="auto"/>
        </w:rPr>
        <w:t xml:space="preserve"> for exporting the content from the </w:t>
      </w:r>
      <w:proofErr w:type="spellStart"/>
      <w:r w:rsidRPr="0041600B">
        <w:rPr>
          <w:rFonts w:eastAsia="Times New Roman"/>
          <w:color w:val="auto"/>
        </w:rPr>
        <w:t>FrameMaker</w:t>
      </w:r>
      <w:proofErr w:type="spellEnd"/>
      <w:r w:rsidRPr="0041600B">
        <w:rPr>
          <w:rFonts w:eastAsia="Times New Roman"/>
          <w:color w:val="auto"/>
        </w:rPr>
        <w:t xml:space="preserve"> source document and processing that content for inclusion into the RiverWare build. This includes:</w:t>
      </w:r>
    </w:p>
    <w:p w:rsidR="0041600B" w:rsidRPr="0041600B" w:rsidRDefault="0041600B" w:rsidP="0041600B">
      <w:pPr>
        <w:numPr>
          <w:ilvl w:val="0"/>
          <w:numId w:val="27"/>
        </w:numPr>
        <w:spacing w:before="100" w:beforeAutospacing="1" w:after="100" w:afterAutospacing="1"/>
        <w:rPr>
          <w:rFonts w:eastAsia="Times New Roman"/>
          <w:color w:val="auto"/>
        </w:rPr>
      </w:pPr>
      <w:r w:rsidRPr="0041600B">
        <w:rPr>
          <w:rFonts w:eastAsia="Times New Roman"/>
          <w:color w:val="auto"/>
        </w:rPr>
        <w:t xml:space="preserve">Development of a Python 3 script to transform display-oriented HTML exported from </w:t>
      </w:r>
      <w:proofErr w:type="spellStart"/>
      <w:r w:rsidRPr="0041600B">
        <w:rPr>
          <w:rFonts w:eastAsia="Times New Roman"/>
          <w:color w:val="auto"/>
        </w:rPr>
        <w:t>FrameMaker</w:t>
      </w:r>
      <w:proofErr w:type="spellEnd"/>
      <w:r w:rsidRPr="0041600B">
        <w:rPr>
          <w:rFonts w:eastAsia="Times New Roman"/>
          <w:color w:val="auto"/>
        </w:rPr>
        <w:t xml:space="preserve"> into structured HTML having content-specific meta-data.</w:t>
      </w:r>
    </w:p>
    <w:p w:rsidR="0041600B" w:rsidRPr="0041600B" w:rsidRDefault="0041600B" w:rsidP="0041600B">
      <w:pPr>
        <w:numPr>
          <w:ilvl w:val="0"/>
          <w:numId w:val="27"/>
        </w:numPr>
        <w:spacing w:before="100" w:beforeAutospacing="1" w:after="100" w:afterAutospacing="1"/>
        <w:rPr>
          <w:rFonts w:eastAsia="Times New Roman"/>
          <w:color w:val="auto"/>
        </w:rPr>
      </w:pPr>
      <w:r w:rsidRPr="0041600B">
        <w:rPr>
          <w:rFonts w:eastAsia="Times New Roman"/>
          <w:color w:val="auto"/>
        </w:rPr>
        <w:t xml:space="preserve">Documentation of the overall process of porting help content from </w:t>
      </w:r>
      <w:proofErr w:type="spellStart"/>
      <w:r w:rsidRPr="0041600B">
        <w:rPr>
          <w:rFonts w:eastAsia="Times New Roman"/>
          <w:color w:val="auto"/>
        </w:rPr>
        <w:t>FrameMaker</w:t>
      </w:r>
      <w:proofErr w:type="spellEnd"/>
      <w:r w:rsidRPr="0041600B">
        <w:rPr>
          <w:rFonts w:eastAsia="Times New Roman"/>
          <w:color w:val="auto"/>
        </w:rPr>
        <w:t xml:space="preserve"> into the RiverWare </w:t>
      </w:r>
      <w:proofErr w:type="gramStart"/>
      <w:r w:rsidRPr="0041600B">
        <w:rPr>
          <w:rFonts w:eastAsia="Times New Roman"/>
          <w:color w:val="auto"/>
        </w:rPr>
        <w:t>build</w:t>
      </w:r>
      <w:proofErr w:type="gramEnd"/>
      <w:r w:rsidRPr="0041600B">
        <w:rPr>
          <w:rFonts w:eastAsia="Times New Roman"/>
          <w:color w:val="auto"/>
        </w:rPr>
        <w:t>.</w:t>
      </w:r>
    </w:p>
    <w:p w:rsidR="0041600B" w:rsidRPr="0041600B" w:rsidRDefault="0041600B" w:rsidP="0041600B">
      <w:pPr>
        <w:spacing w:before="100" w:beforeAutospacing="1" w:after="100" w:afterAutospacing="1"/>
        <w:rPr>
          <w:rFonts w:eastAsia="Times New Roman"/>
          <w:color w:val="auto"/>
        </w:rPr>
      </w:pPr>
      <w:r w:rsidRPr="0041600B">
        <w:rPr>
          <w:rFonts w:eastAsia="Times New Roman"/>
          <w:color w:val="auto"/>
        </w:rPr>
        <w:t>These two documents were prepared:</w:t>
      </w:r>
    </w:p>
    <w:p w:rsidR="0041600B" w:rsidRPr="0041600B" w:rsidRDefault="0041600B" w:rsidP="0041600B">
      <w:pPr>
        <w:spacing w:beforeAutospacing="1" w:afterAutospacing="1"/>
        <w:ind w:left="720"/>
        <w:rPr>
          <w:rFonts w:eastAsia="Times New Roman"/>
          <w:color w:val="auto"/>
        </w:rPr>
      </w:pPr>
      <w:r w:rsidRPr="0041600B">
        <w:rPr>
          <w:rFonts w:eastAsia="Times New Roman"/>
          <w:b/>
          <w:bCs/>
          <w:color w:val="auto"/>
        </w:rPr>
        <w:t>Feature Document: RPL Predefined Function Help content in RiverWare 6.7 / March 2015</w:t>
      </w:r>
      <w:r w:rsidRPr="0041600B">
        <w:rPr>
          <w:rFonts w:eastAsia="Times New Roman"/>
          <w:color w:val="auto"/>
        </w:rPr>
        <w:br/>
        <w:t xml:space="preserve">R:\doc\RPL\EmbedRplDoc\2015\RplFuncHelpInRiverWare-March2015.docx </w:t>
      </w:r>
      <w:r w:rsidRPr="0041600B">
        <w:rPr>
          <w:rFonts w:eastAsia="Times New Roman"/>
          <w:color w:val="auto"/>
        </w:rPr>
        <w:br/>
        <w:t xml:space="preserve">R:\doc\RPL\EmbedRplDoc\2015\RplFuncHelpInRiverWare-March2015.pdf </w:t>
      </w:r>
      <w:r w:rsidRPr="0041600B">
        <w:rPr>
          <w:rFonts w:eastAsia="Times New Roman"/>
          <w:color w:val="auto"/>
        </w:rPr>
        <w:br/>
      </w:r>
      <w:r w:rsidRPr="0041600B">
        <w:rPr>
          <w:rFonts w:eastAsia="Times New Roman"/>
          <w:color w:val="auto"/>
        </w:rPr>
        <w:br/>
      </w:r>
      <w:r w:rsidRPr="0041600B">
        <w:rPr>
          <w:rFonts w:eastAsia="Times New Roman"/>
          <w:b/>
          <w:bCs/>
          <w:color w:val="auto"/>
        </w:rPr>
        <w:t>Processing RPL Predefined Function Help for use in the RiverWare 6.7 Build (Internal).</w:t>
      </w:r>
      <w:r w:rsidRPr="0041600B">
        <w:rPr>
          <w:rFonts w:eastAsia="Times New Roman"/>
          <w:color w:val="auto"/>
        </w:rPr>
        <w:br/>
        <w:t xml:space="preserve">R:\doc\onlineHelp\process\GenRplFuncContent.html </w:t>
      </w:r>
      <w:r w:rsidRPr="0041600B">
        <w:rPr>
          <w:rFonts w:eastAsia="Times New Roman"/>
          <w:color w:val="auto"/>
        </w:rPr>
        <w:br/>
        <w:t xml:space="preserve">R:\doc\onlineHelp\process\GenRplFuncContent-March2015.pdf </w:t>
      </w:r>
    </w:p>
    <w:p w:rsidR="0041600B" w:rsidRPr="0041600B" w:rsidRDefault="0041600B" w:rsidP="0041600B">
      <w:pPr>
        <w:spacing w:before="100" w:beforeAutospacing="1" w:after="100" w:afterAutospacing="1"/>
        <w:rPr>
          <w:rFonts w:eastAsia="Times New Roman"/>
          <w:color w:val="auto"/>
        </w:rPr>
      </w:pPr>
      <w:proofErr w:type="gramStart"/>
      <w:r w:rsidRPr="0041600B">
        <w:rPr>
          <w:rFonts w:eastAsia="Times New Roman"/>
          <w:color w:val="auto"/>
        </w:rPr>
        <w:t>--------------------------------------------</w:t>
      </w:r>
      <w:proofErr w:type="gramEnd"/>
      <w:r w:rsidRPr="0041600B">
        <w:rPr>
          <w:rFonts w:eastAsia="Times New Roman"/>
          <w:color w:val="auto"/>
        </w:rPr>
        <w:br/>
        <w:t>[I.A] New/Enhanced Software / TVA</w:t>
      </w:r>
      <w:r w:rsidRPr="0041600B">
        <w:rPr>
          <w:rFonts w:eastAsia="Times New Roman"/>
          <w:color w:val="auto"/>
        </w:rPr>
        <w:br/>
        <w:t>   Min/Max/Bound Semantics revisions</w:t>
      </w:r>
      <w:r w:rsidRPr="0041600B">
        <w:rPr>
          <w:rFonts w:eastAsia="Times New Roman"/>
          <w:color w:val="auto"/>
        </w:rPr>
        <w:br/>
        <w:t xml:space="preserve">-------------------------------------------- </w:t>
      </w:r>
    </w:p>
    <w:p w:rsidR="0041600B" w:rsidRPr="0041600B" w:rsidRDefault="0041600B" w:rsidP="0041600B">
      <w:pPr>
        <w:spacing w:before="100" w:beforeAutospacing="1" w:after="100" w:afterAutospacing="1"/>
        <w:rPr>
          <w:rFonts w:eastAsia="Times New Roman"/>
          <w:color w:val="auto"/>
        </w:rPr>
      </w:pPr>
      <w:r w:rsidRPr="0041600B">
        <w:rPr>
          <w:rFonts w:eastAsia="Times New Roman"/>
          <w:color w:val="auto"/>
        </w:rPr>
        <w:t>We are in the process of revising the presentation of slot minimum and maximum values as either "bounds" or "optimization limits for table verification" to reflect the actual, limited uses of those values in RiverWare.</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0" w:type="dxa"/>
          <w:left w:w="150" w:type="dxa"/>
          <w:bottom w:w="150" w:type="dxa"/>
          <w:right w:w="150" w:type="dxa"/>
        </w:tblCellMar>
        <w:tblLook w:val="04A0" w:firstRow="1" w:lastRow="0" w:firstColumn="1" w:lastColumn="0" w:noHBand="0" w:noVBand="1"/>
      </w:tblPr>
      <w:tblGrid>
        <w:gridCol w:w="4957"/>
      </w:tblGrid>
      <w:tr w:rsidR="0041600B" w:rsidRPr="0041600B" w:rsidTr="0041600B">
        <w:trPr>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rsidR="0041600B" w:rsidRPr="0041600B" w:rsidRDefault="0041600B" w:rsidP="0041600B">
            <w:pPr>
              <w:rPr>
                <w:rFonts w:eastAsia="Times New Roman"/>
                <w:color w:val="auto"/>
              </w:rPr>
            </w:pPr>
            <w:r w:rsidRPr="0041600B">
              <w:rPr>
                <w:rFonts w:eastAsia="Times New Roman"/>
                <w:b/>
                <w:bCs/>
                <w:color w:val="auto"/>
              </w:rPr>
              <w:t>Maintenance Accomplishments / March 2015</w:t>
            </w:r>
          </w:p>
        </w:tc>
      </w:tr>
    </w:tbl>
    <w:p w:rsidR="0041600B" w:rsidRPr="0041600B" w:rsidRDefault="0041600B" w:rsidP="0041600B">
      <w:pPr>
        <w:spacing w:before="100" w:beforeAutospacing="1" w:after="100" w:afterAutospacing="1"/>
        <w:rPr>
          <w:rFonts w:eastAsia="Times New Roman"/>
          <w:color w:val="auto"/>
        </w:rPr>
      </w:pPr>
      <w:proofErr w:type="gramStart"/>
      <w:r w:rsidRPr="0041600B">
        <w:rPr>
          <w:rFonts w:eastAsia="Times New Roman"/>
          <w:color w:val="auto"/>
        </w:rPr>
        <w:t>--------------------------------------------</w:t>
      </w:r>
      <w:proofErr w:type="gramEnd"/>
      <w:r w:rsidRPr="0041600B">
        <w:rPr>
          <w:rFonts w:eastAsia="Times New Roman"/>
          <w:color w:val="auto"/>
        </w:rPr>
        <w:br/>
        <w:t>[II] RiverWare Software Maintenance / Software Updates / Bug Fixes</w:t>
      </w:r>
      <w:r w:rsidRPr="0041600B">
        <w:rPr>
          <w:rFonts w:eastAsia="Times New Roman"/>
          <w:color w:val="auto"/>
        </w:rPr>
        <w:br/>
        <w:t xml:space="preserve">-------------------------------------------- </w:t>
      </w:r>
    </w:p>
    <w:p w:rsidR="0041600B" w:rsidRPr="0041600B" w:rsidRDefault="0041600B" w:rsidP="0041600B">
      <w:pPr>
        <w:spacing w:before="100" w:beforeAutospacing="1" w:after="100" w:afterAutospacing="1"/>
        <w:rPr>
          <w:rFonts w:eastAsia="Times New Roman"/>
          <w:color w:val="auto"/>
        </w:rPr>
      </w:pPr>
      <w:r w:rsidRPr="0041600B">
        <w:rPr>
          <w:rFonts w:eastAsia="Times New Roman"/>
          <w:color w:val="auto"/>
        </w:rPr>
        <w:t>The following bugs were fixed:</w:t>
      </w:r>
    </w:p>
    <w:p w:rsidR="0041600B" w:rsidRPr="0041600B" w:rsidRDefault="0041600B" w:rsidP="0041600B">
      <w:pPr>
        <w:numPr>
          <w:ilvl w:val="0"/>
          <w:numId w:val="28"/>
        </w:numPr>
        <w:spacing w:before="100" w:beforeAutospacing="1" w:after="100" w:afterAutospacing="1"/>
        <w:rPr>
          <w:rFonts w:eastAsia="Times New Roman"/>
          <w:color w:val="auto"/>
        </w:rPr>
      </w:pPr>
      <w:r w:rsidRPr="0041600B">
        <w:rPr>
          <w:rFonts w:eastAsia="Times New Roman"/>
          <w:color w:val="auto"/>
        </w:rPr>
        <w:t xml:space="preserve">Bug 5607: RPL predefined function </w:t>
      </w:r>
      <w:proofErr w:type="spellStart"/>
      <w:r w:rsidRPr="0041600B">
        <w:rPr>
          <w:rFonts w:eastAsia="Times New Roman"/>
          <w:color w:val="auto"/>
        </w:rPr>
        <w:t>toCelsius</w:t>
      </w:r>
      <w:proofErr w:type="spellEnd"/>
      <w:r w:rsidRPr="0041600B">
        <w:rPr>
          <w:rFonts w:eastAsia="Times New Roman"/>
          <w:color w:val="auto"/>
        </w:rPr>
        <w:t xml:space="preserve"> is spelled incorrectly </w:t>
      </w:r>
    </w:p>
    <w:p w:rsidR="0041600B" w:rsidRPr="0041600B" w:rsidRDefault="0041600B" w:rsidP="0041600B">
      <w:pPr>
        <w:numPr>
          <w:ilvl w:val="0"/>
          <w:numId w:val="28"/>
        </w:numPr>
        <w:spacing w:before="100" w:beforeAutospacing="1" w:after="100" w:afterAutospacing="1"/>
        <w:rPr>
          <w:rFonts w:eastAsia="Times New Roman"/>
          <w:color w:val="auto"/>
        </w:rPr>
      </w:pPr>
      <w:r w:rsidRPr="0041600B">
        <w:rPr>
          <w:rFonts w:eastAsia="Times New Roman"/>
          <w:color w:val="auto"/>
        </w:rPr>
        <w:t>Bug 5609: Open Account dialog not updated when creating supplies on the workspace.</w:t>
      </w:r>
    </w:p>
    <w:p w:rsidR="0041600B" w:rsidRPr="0041600B" w:rsidRDefault="0041600B" w:rsidP="0041600B">
      <w:pPr>
        <w:numPr>
          <w:ilvl w:val="0"/>
          <w:numId w:val="28"/>
        </w:numPr>
        <w:spacing w:before="100" w:beforeAutospacing="1" w:after="100" w:afterAutospacing="1"/>
        <w:rPr>
          <w:rFonts w:eastAsia="Times New Roman"/>
          <w:color w:val="auto"/>
        </w:rPr>
      </w:pPr>
      <w:r w:rsidRPr="0041600B">
        <w:rPr>
          <w:rFonts w:eastAsia="Times New Roman"/>
          <w:color w:val="auto"/>
        </w:rPr>
        <w:t>Bug 5611: Tool tip on Input accounting slots is incorrect.</w:t>
      </w:r>
    </w:p>
    <w:p w:rsidR="0041600B" w:rsidRPr="0041600B" w:rsidRDefault="0041600B" w:rsidP="0041600B">
      <w:pPr>
        <w:numPr>
          <w:ilvl w:val="0"/>
          <w:numId w:val="28"/>
        </w:numPr>
        <w:spacing w:before="100" w:beforeAutospacing="1" w:after="100" w:afterAutospacing="1"/>
        <w:rPr>
          <w:rFonts w:eastAsia="Times New Roman"/>
          <w:color w:val="auto"/>
        </w:rPr>
      </w:pPr>
      <w:r w:rsidRPr="0041600B">
        <w:rPr>
          <w:rFonts w:eastAsia="Times New Roman"/>
          <w:color w:val="auto"/>
        </w:rPr>
        <w:t>Bug 5623: Running CRSS and hitting an error gives many new assertion messages.</w:t>
      </w:r>
    </w:p>
    <w:p w:rsidR="0041600B" w:rsidRPr="0041600B" w:rsidRDefault="0041600B" w:rsidP="0041600B">
      <w:pPr>
        <w:spacing w:before="100" w:beforeAutospacing="1" w:after="100" w:afterAutospacing="1"/>
        <w:rPr>
          <w:rFonts w:eastAsia="Times New Roman"/>
          <w:color w:val="auto"/>
        </w:rPr>
      </w:pPr>
      <w:r w:rsidRPr="0041600B">
        <w:rPr>
          <w:rFonts w:eastAsia="Times New Roman"/>
          <w:color w:val="auto"/>
        </w:rPr>
        <w:t xml:space="preserve">Bug 5614 -- Annual Aggregation time series slots are not correctly summing monthly flows in units of AF/month -- is in the process of being addressed. </w:t>
      </w:r>
    </w:p>
    <w:p w:rsidR="0041600B" w:rsidRPr="0041600B" w:rsidRDefault="0041600B" w:rsidP="0041600B">
      <w:pPr>
        <w:spacing w:beforeAutospacing="1" w:after="100" w:afterAutospacing="1"/>
        <w:ind w:left="720"/>
        <w:rPr>
          <w:rFonts w:eastAsia="Times New Roman"/>
          <w:color w:val="auto"/>
        </w:rPr>
      </w:pPr>
      <w:r w:rsidRPr="0041600B">
        <w:rPr>
          <w:rFonts w:eastAsia="Times New Roman"/>
          <w:color w:val="auto"/>
        </w:rPr>
        <w:t>Most of the aspects of this bug are related to the special Time Aggregation Series Slot which users can create on Data Objects.</w:t>
      </w:r>
    </w:p>
    <w:p w:rsidR="0041600B" w:rsidRPr="0041600B" w:rsidRDefault="0041600B" w:rsidP="0041600B">
      <w:pPr>
        <w:spacing w:before="100" w:beforeAutospacing="1" w:after="100" w:afterAutospacing="1"/>
        <w:ind w:left="720"/>
        <w:rPr>
          <w:rFonts w:eastAsia="Times New Roman"/>
          <w:color w:val="auto"/>
        </w:rPr>
      </w:pPr>
      <w:r w:rsidRPr="0041600B">
        <w:rPr>
          <w:rFonts w:eastAsia="Times New Roman"/>
          <w:color w:val="auto"/>
        </w:rPr>
        <w:lastRenderedPageBreak/>
        <w:t xml:space="preserve">One high-level problem is that rate unit types (notably, FLOW) were being summed in the "normal" way, which is not correct for rate (e.g. flow) values for different </w:t>
      </w:r>
      <w:proofErr w:type="spellStart"/>
      <w:r w:rsidRPr="0041600B">
        <w:rPr>
          <w:rFonts w:eastAsia="Times New Roman"/>
          <w:color w:val="auto"/>
        </w:rPr>
        <w:t>timesteps</w:t>
      </w:r>
      <w:proofErr w:type="spellEnd"/>
      <w:r w:rsidRPr="0041600B">
        <w:rPr>
          <w:rFonts w:eastAsia="Times New Roman"/>
          <w:color w:val="auto"/>
        </w:rPr>
        <w:t xml:space="preserve"> within a single time series. Two options which were considered for the SUM function of Time Aggregation Series Slots were: (1) "Integrating" such values with respect to time (e.g. showing the sum of those flows as a volume), or (2) Showing the sum as the average value, but with a rate unit having a "per time" factor matching the time aggregation size (e.g. showing an annual aggregation of "per month" values with the analogous "per year" unit). We have implemented the latter approach. </w:t>
      </w:r>
    </w:p>
    <w:p w:rsidR="0041600B" w:rsidRPr="0041600B" w:rsidRDefault="0041600B" w:rsidP="0041600B">
      <w:pPr>
        <w:spacing w:before="100" w:beforeAutospacing="1" w:after="100" w:afterAutospacing="1"/>
        <w:ind w:left="720"/>
        <w:rPr>
          <w:rFonts w:eastAsia="Times New Roman"/>
          <w:color w:val="auto"/>
        </w:rPr>
      </w:pPr>
      <w:r w:rsidRPr="0041600B">
        <w:rPr>
          <w:rFonts w:eastAsia="Times New Roman"/>
          <w:color w:val="auto"/>
        </w:rPr>
        <w:t xml:space="preserve">Another high-level problem is that rate values needed to be summed (for both the </w:t>
      </w:r>
      <w:r w:rsidRPr="0041600B">
        <w:rPr>
          <w:rFonts w:eastAsia="Times New Roman"/>
          <w:i/>
          <w:iCs/>
          <w:color w:val="auto"/>
        </w:rPr>
        <w:t>sum</w:t>
      </w:r>
      <w:r w:rsidRPr="0041600B">
        <w:rPr>
          <w:rFonts w:eastAsia="Times New Roman"/>
          <w:color w:val="auto"/>
        </w:rPr>
        <w:t xml:space="preserve"> and </w:t>
      </w:r>
      <w:r w:rsidRPr="0041600B">
        <w:rPr>
          <w:rFonts w:eastAsia="Times New Roman"/>
          <w:i/>
          <w:iCs/>
          <w:color w:val="auto"/>
        </w:rPr>
        <w:t>average</w:t>
      </w:r>
      <w:r w:rsidRPr="0041600B">
        <w:rPr>
          <w:rFonts w:eastAsia="Times New Roman"/>
          <w:color w:val="auto"/>
        </w:rPr>
        <w:t xml:space="preserve"> functions) using a "weighted" sum and average. This is relevant specifically for summing rate series having an irregular </w:t>
      </w:r>
      <w:proofErr w:type="spellStart"/>
      <w:r w:rsidRPr="0041600B">
        <w:rPr>
          <w:rFonts w:eastAsia="Times New Roman"/>
          <w:color w:val="auto"/>
        </w:rPr>
        <w:t>timestep</w:t>
      </w:r>
      <w:proofErr w:type="spellEnd"/>
      <w:r w:rsidRPr="0041600B">
        <w:rPr>
          <w:rFonts w:eastAsia="Times New Roman"/>
          <w:color w:val="auto"/>
        </w:rPr>
        <w:t xml:space="preserve"> (i.e. per month or per year).</w:t>
      </w:r>
    </w:p>
    <w:p w:rsidR="0041600B" w:rsidRPr="0041600B" w:rsidRDefault="0041600B" w:rsidP="0041600B">
      <w:pPr>
        <w:spacing w:before="100" w:beforeAutospacing="1" w:after="100" w:afterAutospacing="1"/>
        <w:ind w:left="720"/>
        <w:rPr>
          <w:rFonts w:eastAsia="Times New Roman"/>
          <w:color w:val="auto"/>
        </w:rPr>
      </w:pPr>
      <w:r w:rsidRPr="0041600B">
        <w:rPr>
          <w:rFonts w:eastAsia="Times New Roman"/>
          <w:color w:val="auto"/>
        </w:rPr>
        <w:t>Ancillary to these Time Aggregation Series Slot issues, we have also implemented these related enhancements:</w:t>
      </w:r>
    </w:p>
    <w:p w:rsidR="0041600B" w:rsidRPr="0041600B" w:rsidRDefault="0041600B" w:rsidP="0041600B">
      <w:pPr>
        <w:numPr>
          <w:ilvl w:val="0"/>
          <w:numId w:val="29"/>
        </w:numPr>
        <w:tabs>
          <w:tab w:val="num" w:pos="1440"/>
        </w:tabs>
        <w:spacing w:before="100" w:beforeAutospacing="1" w:after="100" w:afterAutospacing="1"/>
        <w:ind w:left="2160"/>
        <w:rPr>
          <w:rFonts w:eastAsia="Times New Roman"/>
          <w:color w:val="auto"/>
        </w:rPr>
      </w:pPr>
      <w:r w:rsidRPr="0041600B">
        <w:rPr>
          <w:rFonts w:eastAsia="Times New Roman"/>
          <w:color w:val="auto"/>
        </w:rPr>
        <w:t>Support for aggregating to Days (e.g. of hourly data). Previously, only aggregating to Months and Years was supported.</w:t>
      </w:r>
    </w:p>
    <w:p w:rsidR="0041600B" w:rsidRPr="0041600B" w:rsidRDefault="0041600B" w:rsidP="0041600B">
      <w:pPr>
        <w:numPr>
          <w:ilvl w:val="0"/>
          <w:numId w:val="29"/>
        </w:numPr>
        <w:spacing w:before="100" w:beforeAutospacing="1" w:after="100" w:afterAutospacing="1"/>
        <w:ind w:left="2160"/>
        <w:rPr>
          <w:rFonts w:eastAsia="Times New Roman"/>
          <w:color w:val="auto"/>
        </w:rPr>
      </w:pPr>
      <w:r w:rsidRPr="0041600B">
        <w:rPr>
          <w:rFonts w:eastAsia="Times New Roman"/>
          <w:color w:val="auto"/>
        </w:rPr>
        <w:t xml:space="preserve">The SCT's time aggregation capacity was expanded to support annual aggregation of daily series. That scale of aggregation (365 or 366 detail rows for each time aggregation) presented both extreme graphical and program performance problems for the SCT's time aggregation "summary" row cells. Those are normally "painted" in separate vertical slices -- one slice for each </w:t>
      </w:r>
      <w:proofErr w:type="spellStart"/>
      <w:r w:rsidRPr="0041600B">
        <w:rPr>
          <w:rFonts w:eastAsia="Times New Roman"/>
          <w:color w:val="auto"/>
        </w:rPr>
        <w:t>timestep</w:t>
      </w:r>
      <w:proofErr w:type="spellEnd"/>
      <w:r w:rsidRPr="0041600B">
        <w:rPr>
          <w:rFonts w:eastAsia="Times New Roman"/>
          <w:color w:val="auto"/>
        </w:rPr>
        <w:t xml:space="preserve"> -- primarily to depict each </w:t>
      </w:r>
      <w:proofErr w:type="spellStart"/>
      <w:r w:rsidRPr="0041600B">
        <w:rPr>
          <w:rFonts w:eastAsia="Times New Roman"/>
          <w:color w:val="auto"/>
        </w:rPr>
        <w:t>timestep's</w:t>
      </w:r>
      <w:proofErr w:type="spellEnd"/>
      <w:r w:rsidRPr="0041600B">
        <w:rPr>
          <w:rFonts w:eastAsia="Times New Roman"/>
          <w:color w:val="auto"/>
        </w:rPr>
        <w:t xml:space="preserve"> flag state as a background color. This time aggregation summary cell feature is now turned off for time aggregations of 100 or more </w:t>
      </w:r>
      <w:proofErr w:type="spellStart"/>
      <w:r w:rsidRPr="0041600B">
        <w:rPr>
          <w:rFonts w:eastAsia="Times New Roman"/>
          <w:color w:val="auto"/>
        </w:rPr>
        <w:t>timesteps</w:t>
      </w:r>
      <w:proofErr w:type="spellEnd"/>
      <w:r w:rsidRPr="0041600B">
        <w:rPr>
          <w:rFonts w:eastAsia="Times New Roman"/>
          <w:color w:val="auto"/>
        </w:rPr>
        <w:t>.</w:t>
      </w:r>
    </w:p>
    <w:p w:rsidR="0041600B" w:rsidRPr="0041600B" w:rsidRDefault="0041600B" w:rsidP="0041600B">
      <w:pPr>
        <w:spacing w:before="100" w:beforeAutospacing="1" w:after="100" w:afterAutospacing="1"/>
        <w:ind w:left="720"/>
        <w:rPr>
          <w:rFonts w:eastAsia="Times New Roman"/>
          <w:color w:val="auto"/>
        </w:rPr>
      </w:pPr>
      <w:r w:rsidRPr="0041600B">
        <w:rPr>
          <w:rFonts w:eastAsia="Times New Roman"/>
          <w:color w:val="auto"/>
        </w:rPr>
        <w:t xml:space="preserve">In the course of testing the Time Aggregation Series Slot fixes, a broader problem was discovered within our unit conversion algorithms. </w:t>
      </w:r>
      <w:r w:rsidRPr="0041600B">
        <w:rPr>
          <w:rFonts w:eastAsia="Times New Roman"/>
          <w:b/>
          <w:bCs/>
          <w:color w:val="auto"/>
        </w:rPr>
        <w:t>Rate values within an annual series are not correctly converted to per-month units.</w:t>
      </w:r>
      <w:r w:rsidRPr="0041600B">
        <w:rPr>
          <w:rFonts w:eastAsia="Times New Roman"/>
          <w:color w:val="auto"/>
        </w:rPr>
        <w:t xml:space="preserve"> The result was effectively assuming an average month-length of 31 days -- i.e. the length of the month (December) preceding the </w:t>
      </w:r>
      <w:proofErr w:type="spellStart"/>
      <w:r w:rsidRPr="0041600B">
        <w:rPr>
          <w:rFonts w:eastAsia="Times New Roman"/>
          <w:color w:val="auto"/>
        </w:rPr>
        <w:t>Date_Time</w:t>
      </w:r>
      <w:proofErr w:type="spellEnd"/>
      <w:r w:rsidRPr="0041600B">
        <w:rPr>
          <w:rFonts w:eastAsia="Times New Roman"/>
          <w:color w:val="auto"/>
        </w:rPr>
        <w:t xml:space="preserve"> designating the end of an annual </w:t>
      </w:r>
      <w:proofErr w:type="spellStart"/>
      <w:r w:rsidRPr="0041600B">
        <w:rPr>
          <w:rFonts w:eastAsia="Times New Roman"/>
          <w:color w:val="auto"/>
        </w:rPr>
        <w:t>timestep</w:t>
      </w:r>
      <w:proofErr w:type="spellEnd"/>
      <w:r w:rsidRPr="0041600B">
        <w:rPr>
          <w:rFonts w:eastAsia="Times New Roman"/>
          <w:color w:val="auto"/>
        </w:rPr>
        <w:t>. We've determined that our variant of the "</w:t>
      </w:r>
      <w:proofErr w:type="spellStart"/>
      <w:r w:rsidRPr="0041600B">
        <w:rPr>
          <w:rFonts w:eastAsia="Times New Roman"/>
          <w:color w:val="auto"/>
        </w:rPr>
        <w:t>convertWithinType</w:t>
      </w:r>
      <w:proofErr w:type="spellEnd"/>
      <w:r w:rsidRPr="0041600B">
        <w:rPr>
          <w:rFonts w:eastAsia="Times New Roman"/>
          <w:color w:val="auto"/>
        </w:rPr>
        <w:t xml:space="preserve">" C++ method which is given a </w:t>
      </w:r>
      <w:proofErr w:type="spellStart"/>
      <w:r w:rsidRPr="0041600B">
        <w:rPr>
          <w:rFonts w:eastAsia="Times New Roman"/>
          <w:color w:val="auto"/>
        </w:rPr>
        <w:t>Date_Time</w:t>
      </w:r>
      <w:proofErr w:type="spellEnd"/>
      <w:r w:rsidRPr="0041600B">
        <w:rPr>
          <w:rFonts w:eastAsia="Times New Roman"/>
          <w:color w:val="auto"/>
        </w:rPr>
        <w:t xml:space="preserve"> to resolve irregular time units also needs an explicit </w:t>
      </w:r>
      <w:proofErr w:type="spellStart"/>
      <w:r w:rsidRPr="0041600B">
        <w:rPr>
          <w:rFonts w:eastAsia="Times New Roman"/>
          <w:color w:val="auto"/>
        </w:rPr>
        <w:t>DeltaTime</w:t>
      </w:r>
      <w:proofErr w:type="spellEnd"/>
      <w:r w:rsidRPr="0041600B">
        <w:rPr>
          <w:rFonts w:eastAsia="Times New Roman"/>
          <w:color w:val="auto"/>
        </w:rPr>
        <w:t xml:space="preserve"> (symbolic time interval) to correctly compute the required value. We are addressing this problem before completing the testing of the "5614" issues specifically involving the Time Aggregation Series Slot.</w:t>
      </w:r>
    </w:p>
    <w:p w:rsidR="0041600B" w:rsidRPr="0041600B" w:rsidRDefault="0041600B" w:rsidP="0041600B">
      <w:pPr>
        <w:spacing w:before="100" w:beforeAutospacing="1" w:afterAutospacing="1"/>
        <w:ind w:left="720"/>
        <w:rPr>
          <w:rFonts w:eastAsia="Times New Roman"/>
          <w:color w:val="auto"/>
        </w:rPr>
      </w:pPr>
      <w:r w:rsidRPr="0041600B">
        <w:rPr>
          <w:rFonts w:eastAsia="Times New Roman"/>
          <w:color w:val="auto"/>
        </w:rPr>
        <w:t xml:space="preserve">To address this latter problem, an analysis of the </w:t>
      </w:r>
      <w:r w:rsidRPr="0041600B">
        <w:rPr>
          <w:rFonts w:eastAsia="Times New Roman"/>
          <w:i/>
          <w:iCs/>
          <w:color w:val="auto"/>
        </w:rPr>
        <w:t>internal structure</w:t>
      </w:r>
      <w:r w:rsidRPr="0041600B">
        <w:rPr>
          <w:rFonts w:eastAsia="Times New Roman"/>
          <w:color w:val="auto"/>
        </w:rPr>
        <w:t xml:space="preserve"> and </w:t>
      </w:r>
      <w:r w:rsidRPr="0041600B">
        <w:rPr>
          <w:rFonts w:eastAsia="Times New Roman"/>
          <w:i/>
          <w:iCs/>
          <w:color w:val="auto"/>
        </w:rPr>
        <w:t>use</w:t>
      </w:r>
      <w:r w:rsidRPr="0041600B">
        <w:rPr>
          <w:rFonts w:eastAsia="Times New Roman"/>
          <w:color w:val="auto"/>
        </w:rPr>
        <w:t xml:space="preserve"> of our unit conversion utility methods was done. This analysis included observations about how to improve the unit conversion API and implementation for both better run-time performance and application-code readability. A formal document for this analysis will be provided in April.</w:t>
      </w:r>
    </w:p>
    <w:p w:rsidR="0041600B" w:rsidRPr="0041600B" w:rsidRDefault="0041600B" w:rsidP="0041600B">
      <w:pPr>
        <w:spacing w:before="100" w:beforeAutospacing="1" w:after="100" w:afterAutospacing="1"/>
        <w:rPr>
          <w:rFonts w:eastAsia="Times New Roman"/>
          <w:color w:val="auto"/>
        </w:rPr>
      </w:pPr>
      <w:r w:rsidRPr="0041600B">
        <w:rPr>
          <w:rFonts w:eastAsia="Times New Roman"/>
          <w:color w:val="auto"/>
        </w:rPr>
        <w:t>--- (</w:t>
      </w:r>
      <w:proofErr w:type="gramStart"/>
      <w:r w:rsidRPr="0041600B">
        <w:rPr>
          <w:rFonts w:eastAsia="Times New Roman"/>
          <w:color w:val="auto"/>
        </w:rPr>
        <w:t>end</w:t>
      </w:r>
      <w:proofErr w:type="gramEnd"/>
      <w:r w:rsidRPr="0041600B">
        <w:rPr>
          <w:rFonts w:eastAsia="Times New Roman"/>
          <w:color w:val="auto"/>
        </w:rPr>
        <w:t>) ---</w:t>
      </w:r>
    </w:p>
    <w:p w:rsidR="00467353" w:rsidRPr="00327227" w:rsidRDefault="00467353" w:rsidP="00327227"/>
    <w:sectPr w:rsidR="00467353" w:rsidRPr="00327227" w:rsidSect="00E050EB">
      <w:headerReference w:type="default" r:id="rId8"/>
      <w:footerReference w:type="default" r:id="rId9"/>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050EB" w:rsidRDefault="00E050EB" w:rsidP="00E050EB">
      <w:r>
        <w:separator/>
      </w:r>
    </w:p>
  </w:endnote>
  <w:endnote w:type="continuationSeparator" w:id="0">
    <w:p w:rsidR="00E050EB" w:rsidRDefault="00E050EB" w:rsidP="00E050E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050EB" w:rsidRPr="00E050EB" w:rsidRDefault="00E050EB">
    <w:pPr>
      <w:pStyle w:val="Footer"/>
      <w:rPr>
        <w:rFonts w:asciiTheme="minorHAnsi" w:hAnsiTheme="minorHAnsi"/>
      </w:rPr>
    </w:pPr>
    <w:r>
      <w:tab/>
    </w:r>
    <w:r>
      <w:tab/>
    </w:r>
    <w:r w:rsidR="00327227">
      <w:rPr>
        <w:rFonts w:asciiTheme="minorHAnsi" w:hAnsiTheme="minorHAnsi"/>
      </w:rPr>
      <w:t>4</w:t>
    </w:r>
    <w:r w:rsidR="00467353">
      <w:rPr>
        <w:rFonts w:asciiTheme="minorHAnsi" w:hAnsiTheme="minorHAnsi"/>
      </w:rPr>
      <w:t>-02</w:t>
    </w:r>
    <w:r w:rsidRPr="00E050EB">
      <w:rPr>
        <w:rFonts w:asciiTheme="minorHAnsi" w:hAnsiTheme="minorHAnsi"/>
      </w:rPr>
      <w:t>-2015</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050EB" w:rsidRDefault="00E050EB" w:rsidP="00E050EB">
      <w:r>
        <w:separator/>
      </w:r>
    </w:p>
  </w:footnote>
  <w:footnote w:type="continuationSeparator" w:id="0">
    <w:p w:rsidR="00E050EB" w:rsidRDefault="00E050EB" w:rsidP="00E050E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050EB" w:rsidRPr="00E050EB" w:rsidRDefault="00E050EB" w:rsidP="00E050EB">
    <w:pPr>
      <w:pStyle w:val="Header"/>
      <w:rPr>
        <w:rFonts w:asciiTheme="minorHAnsi" w:hAnsiTheme="minorHAnsi"/>
      </w:rPr>
    </w:pPr>
    <w:r w:rsidRPr="00E050EB">
      <w:rPr>
        <w:rFonts w:asciiTheme="minorHAnsi" w:hAnsiTheme="minorHAnsi"/>
      </w:rPr>
      <w:t xml:space="preserve">Phil Weinstein / Accomplishments – </w:t>
    </w:r>
    <w:r w:rsidR="00327227">
      <w:rPr>
        <w:rFonts w:asciiTheme="minorHAnsi" w:hAnsiTheme="minorHAnsi"/>
      </w:rPr>
      <w:t>March</w:t>
    </w:r>
    <w:r w:rsidRPr="00E050EB">
      <w:rPr>
        <w:rFonts w:asciiTheme="minorHAnsi" w:hAnsiTheme="minorHAnsi"/>
      </w:rPr>
      <w:t xml:space="preserve"> 2015</w:t>
    </w:r>
    <w:r w:rsidRPr="00E050EB">
      <w:rPr>
        <w:rFonts w:asciiTheme="minorHAnsi" w:hAnsiTheme="minorHAnsi"/>
      </w:rPr>
      <w:tab/>
      <w:t xml:space="preserve">Page </w:t>
    </w:r>
    <w:r w:rsidRPr="00E050EB">
      <w:rPr>
        <w:rFonts w:asciiTheme="minorHAnsi" w:hAnsiTheme="minorHAnsi"/>
      </w:rPr>
      <w:fldChar w:fldCharType="begin"/>
    </w:r>
    <w:r w:rsidRPr="00E050EB">
      <w:rPr>
        <w:rFonts w:asciiTheme="minorHAnsi" w:hAnsiTheme="minorHAnsi"/>
      </w:rPr>
      <w:instrText xml:space="preserve"> PAGE  \* Arabic  \* MERGEFORMAT </w:instrText>
    </w:r>
    <w:r w:rsidRPr="00E050EB">
      <w:rPr>
        <w:rFonts w:asciiTheme="minorHAnsi" w:hAnsiTheme="minorHAnsi"/>
      </w:rPr>
      <w:fldChar w:fldCharType="separate"/>
    </w:r>
    <w:r w:rsidR="001C4D6D">
      <w:rPr>
        <w:rFonts w:asciiTheme="minorHAnsi" w:hAnsiTheme="minorHAnsi"/>
        <w:noProof/>
      </w:rPr>
      <w:t>1</w:t>
    </w:r>
    <w:r w:rsidRPr="00E050EB">
      <w:rPr>
        <w:rFonts w:asciiTheme="minorHAnsi" w:hAnsiTheme="minorHAnsi"/>
      </w:rPr>
      <w:fldChar w:fldCharType="end"/>
    </w:r>
    <w:r w:rsidRPr="00E050EB">
      <w:rPr>
        <w:rFonts w:asciiTheme="minorHAnsi" w:hAnsiTheme="minorHAnsi"/>
      </w:rPr>
      <w:t xml:space="preserve"> of </w:t>
    </w:r>
    <w:r w:rsidRPr="00E050EB">
      <w:rPr>
        <w:rFonts w:asciiTheme="minorHAnsi" w:hAnsiTheme="minorHAnsi"/>
      </w:rPr>
      <w:fldChar w:fldCharType="begin"/>
    </w:r>
    <w:r w:rsidRPr="00E050EB">
      <w:rPr>
        <w:rFonts w:asciiTheme="minorHAnsi" w:hAnsiTheme="minorHAnsi"/>
      </w:rPr>
      <w:instrText xml:space="preserve"> NUMPAGES  \* Arabic  \* MERGEFORMAT </w:instrText>
    </w:r>
    <w:r w:rsidRPr="00E050EB">
      <w:rPr>
        <w:rFonts w:asciiTheme="minorHAnsi" w:hAnsiTheme="minorHAnsi"/>
      </w:rPr>
      <w:fldChar w:fldCharType="separate"/>
    </w:r>
    <w:r w:rsidR="001C4D6D">
      <w:rPr>
        <w:rFonts w:asciiTheme="minorHAnsi" w:hAnsiTheme="minorHAnsi"/>
        <w:noProof/>
      </w:rPr>
      <w:t>3</w:t>
    </w:r>
    <w:r w:rsidRPr="00E050EB">
      <w:rPr>
        <w:rFonts w:asciiTheme="minorHAnsi" w:hAnsiTheme="minorHAnsi"/>
        <w:noProof/>
      </w:rPr>
      <w:fldChar w:fldCharType="end"/>
    </w:r>
  </w:p>
  <w:p w:rsidR="00E050EB" w:rsidRDefault="00E050EB">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DE13F5"/>
    <w:multiLevelType w:val="multilevel"/>
    <w:tmpl w:val="B596BF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04086363"/>
    <w:multiLevelType w:val="multilevel"/>
    <w:tmpl w:val="331AEA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06CB43DE"/>
    <w:multiLevelType w:val="multilevel"/>
    <w:tmpl w:val="9CF261B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nsid w:val="156F7245"/>
    <w:multiLevelType w:val="multilevel"/>
    <w:tmpl w:val="24D672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164B0199"/>
    <w:multiLevelType w:val="multilevel"/>
    <w:tmpl w:val="0D0286B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nsid w:val="239D03F1"/>
    <w:multiLevelType w:val="multilevel"/>
    <w:tmpl w:val="AA7A77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23BA462D"/>
    <w:multiLevelType w:val="multilevel"/>
    <w:tmpl w:val="D14CD36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nsid w:val="2B42378B"/>
    <w:multiLevelType w:val="multilevel"/>
    <w:tmpl w:val="2E34DFC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nsid w:val="2B7D03E5"/>
    <w:multiLevelType w:val="multilevel"/>
    <w:tmpl w:val="203E757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2DA374E8"/>
    <w:multiLevelType w:val="multilevel"/>
    <w:tmpl w:val="72B4C0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31776EB7"/>
    <w:multiLevelType w:val="multilevel"/>
    <w:tmpl w:val="61E4F79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nsid w:val="37A44834"/>
    <w:multiLevelType w:val="multilevel"/>
    <w:tmpl w:val="5E86AA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3CC63D23"/>
    <w:multiLevelType w:val="multilevel"/>
    <w:tmpl w:val="4CB630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40D447BF"/>
    <w:multiLevelType w:val="multilevel"/>
    <w:tmpl w:val="5E82032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nsid w:val="430B31A5"/>
    <w:multiLevelType w:val="multilevel"/>
    <w:tmpl w:val="7958CB7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nsid w:val="473A50DD"/>
    <w:multiLevelType w:val="multilevel"/>
    <w:tmpl w:val="0B62004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nsid w:val="4774654F"/>
    <w:multiLevelType w:val="multilevel"/>
    <w:tmpl w:val="988816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nsid w:val="525842C8"/>
    <w:multiLevelType w:val="multilevel"/>
    <w:tmpl w:val="7B56FB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nsid w:val="59AD7C37"/>
    <w:multiLevelType w:val="multilevel"/>
    <w:tmpl w:val="49D4C7C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nsid w:val="5BC01792"/>
    <w:multiLevelType w:val="multilevel"/>
    <w:tmpl w:val="C47665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nsid w:val="5E3A1A49"/>
    <w:multiLevelType w:val="multilevel"/>
    <w:tmpl w:val="1F3E06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nsid w:val="5E69332C"/>
    <w:multiLevelType w:val="multilevel"/>
    <w:tmpl w:val="CE8A2F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nsid w:val="63BD245D"/>
    <w:multiLevelType w:val="multilevel"/>
    <w:tmpl w:val="6CB02E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nsid w:val="6AD704B8"/>
    <w:multiLevelType w:val="multilevel"/>
    <w:tmpl w:val="59D0D5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nsid w:val="711750FC"/>
    <w:multiLevelType w:val="multilevel"/>
    <w:tmpl w:val="22321DF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nsid w:val="731D5FB9"/>
    <w:multiLevelType w:val="multilevel"/>
    <w:tmpl w:val="0FEEA0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nsid w:val="767D623D"/>
    <w:multiLevelType w:val="multilevel"/>
    <w:tmpl w:val="043008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nsid w:val="777E7A3B"/>
    <w:multiLevelType w:val="multilevel"/>
    <w:tmpl w:val="12EAEB28"/>
    <w:lvl w:ilvl="0">
      <w:start w:val="1"/>
      <w:numFmt w:val="bullet"/>
      <w:lvlText w:val=""/>
      <w:lvlJc w:val="left"/>
      <w:pPr>
        <w:tabs>
          <w:tab w:val="num" w:pos="0"/>
        </w:tabs>
        <w:ind w:left="0" w:hanging="360"/>
      </w:pPr>
      <w:rPr>
        <w:rFonts w:ascii="Symbol" w:hAnsi="Symbol" w:hint="default"/>
        <w:sz w:val="20"/>
      </w:rPr>
    </w:lvl>
    <w:lvl w:ilvl="1" w:tentative="1">
      <w:start w:val="1"/>
      <w:numFmt w:val="bullet"/>
      <w:lvlText w:val="o"/>
      <w:lvlJc w:val="left"/>
      <w:pPr>
        <w:tabs>
          <w:tab w:val="num" w:pos="720"/>
        </w:tabs>
        <w:ind w:left="720" w:hanging="360"/>
      </w:pPr>
      <w:rPr>
        <w:rFonts w:ascii="Courier New" w:hAnsi="Courier New" w:hint="default"/>
        <w:sz w:val="20"/>
      </w:rPr>
    </w:lvl>
    <w:lvl w:ilvl="2" w:tentative="1">
      <w:start w:val="1"/>
      <w:numFmt w:val="bullet"/>
      <w:lvlText w:val=""/>
      <w:lvlJc w:val="left"/>
      <w:pPr>
        <w:tabs>
          <w:tab w:val="num" w:pos="1440"/>
        </w:tabs>
        <w:ind w:left="1440" w:hanging="360"/>
      </w:pPr>
      <w:rPr>
        <w:rFonts w:ascii="Wingdings" w:hAnsi="Wingdings" w:hint="default"/>
        <w:sz w:val="20"/>
      </w:rPr>
    </w:lvl>
    <w:lvl w:ilvl="3" w:tentative="1">
      <w:start w:val="1"/>
      <w:numFmt w:val="bullet"/>
      <w:lvlText w:val=""/>
      <w:lvlJc w:val="left"/>
      <w:pPr>
        <w:tabs>
          <w:tab w:val="num" w:pos="2160"/>
        </w:tabs>
        <w:ind w:left="2160" w:hanging="360"/>
      </w:pPr>
      <w:rPr>
        <w:rFonts w:ascii="Wingdings" w:hAnsi="Wingdings" w:hint="default"/>
        <w:sz w:val="20"/>
      </w:rPr>
    </w:lvl>
    <w:lvl w:ilvl="4" w:tentative="1">
      <w:start w:val="1"/>
      <w:numFmt w:val="bullet"/>
      <w:lvlText w:val=""/>
      <w:lvlJc w:val="left"/>
      <w:pPr>
        <w:tabs>
          <w:tab w:val="num" w:pos="2880"/>
        </w:tabs>
        <w:ind w:left="2880" w:hanging="360"/>
      </w:pPr>
      <w:rPr>
        <w:rFonts w:ascii="Wingdings" w:hAnsi="Wingdings" w:hint="default"/>
        <w:sz w:val="20"/>
      </w:rPr>
    </w:lvl>
    <w:lvl w:ilvl="5" w:tentative="1">
      <w:start w:val="1"/>
      <w:numFmt w:val="bullet"/>
      <w:lvlText w:val=""/>
      <w:lvlJc w:val="left"/>
      <w:pPr>
        <w:tabs>
          <w:tab w:val="num" w:pos="3600"/>
        </w:tabs>
        <w:ind w:left="3600" w:hanging="360"/>
      </w:pPr>
      <w:rPr>
        <w:rFonts w:ascii="Wingdings" w:hAnsi="Wingdings" w:hint="default"/>
        <w:sz w:val="20"/>
      </w:rPr>
    </w:lvl>
    <w:lvl w:ilvl="6" w:tentative="1">
      <w:start w:val="1"/>
      <w:numFmt w:val="bullet"/>
      <w:lvlText w:val=""/>
      <w:lvlJc w:val="left"/>
      <w:pPr>
        <w:tabs>
          <w:tab w:val="num" w:pos="4320"/>
        </w:tabs>
        <w:ind w:left="4320" w:hanging="360"/>
      </w:pPr>
      <w:rPr>
        <w:rFonts w:ascii="Wingdings" w:hAnsi="Wingdings" w:hint="default"/>
        <w:sz w:val="20"/>
      </w:rPr>
    </w:lvl>
    <w:lvl w:ilvl="7" w:tentative="1">
      <w:start w:val="1"/>
      <w:numFmt w:val="bullet"/>
      <w:lvlText w:val=""/>
      <w:lvlJc w:val="left"/>
      <w:pPr>
        <w:tabs>
          <w:tab w:val="num" w:pos="5040"/>
        </w:tabs>
        <w:ind w:left="5040" w:hanging="360"/>
      </w:pPr>
      <w:rPr>
        <w:rFonts w:ascii="Wingdings" w:hAnsi="Wingdings" w:hint="default"/>
        <w:sz w:val="20"/>
      </w:rPr>
    </w:lvl>
    <w:lvl w:ilvl="8" w:tentative="1">
      <w:start w:val="1"/>
      <w:numFmt w:val="bullet"/>
      <w:lvlText w:val=""/>
      <w:lvlJc w:val="left"/>
      <w:pPr>
        <w:tabs>
          <w:tab w:val="num" w:pos="5760"/>
        </w:tabs>
        <w:ind w:left="5760" w:hanging="360"/>
      </w:pPr>
      <w:rPr>
        <w:rFonts w:ascii="Wingdings" w:hAnsi="Wingdings" w:hint="default"/>
        <w:sz w:val="20"/>
      </w:rPr>
    </w:lvl>
  </w:abstractNum>
  <w:abstractNum w:abstractNumId="28">
    <w:nsid w:val="79C972D1"/>
    <w:multiLevelType w:val="multilevel"/>
    <w:tmpl w:val="0F1E4D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2"/>
  </w:num>
  <w:num w:numId="2">
    <w:abstractNumId w:val="21"/>
  </w:num>
  <w:num w:numId="3">
    <w:abstractNumId w:val="5"/>
  </w:num>
  <w:num w:numId="4">
    <w:abstractNumId w:val="26"/>
  </w:num>
  <w:num w:numId="5">
    <w:abstractNumId w:val="6"/>
  </w:num>
  <w:num w:numId="6">
    <w:abstractNumId w:val="18"/>
  </w:num>
  <w:num w:numId="7">
    <w:abstractNumId w:val="23"/>
  </w:num>
  <w:num w:numId="8">
    <w:abstractNumId w:val="11"/>
  </w:num>
  <w:num w:numId="9">
    <w:abstractNumId w:val="14"/>
  </w:num>
  <w:num w:numId="10">
    <w:abstractNumId w:val="16"/>
  </w:num>
  <w:num w:numId="11">
    <w:abstractNumId w:val="28"/>
  </w:num>
  <w:num w:numId="12">
    <w:abstractNumId w:val="22"/>
  </w:num>
  <w:num w:numId="13">
    <w:abstractNumId w:val="17"/>
  </w:num>
  <w:num w:numId="14">
    <w:abstractNumId w:val="20"/>
  </w:num>
  <w:num w:numId="15">
    <w:abstractNumId w:val="10"/>
  </w:num>
  <w:num w:numId="16">
    <w:abstractNumId w:val="24"/>
  </w:num>
  <w:num w:numId="17">
    <w:abstractNumId w:val="3"/>
  </w:num>
  <w:num w:numId="18">
    <w:abstractNumId w:val="0"/>
  </w:num>
  <w:num w:numId="19">
    <w:abstractNumId w:val="7"/>
  </w:num>
  <w:num w:numId="20">
    <w:abstractNumId w:val="1"/>
  </w:num>
  <w:num w:numId="21">
    <w:abstractNumId w:val="8"/>
  </w:num>
  <w:num w:numId="22">
    <w:abstractNumId w:val="2"/>
  </w:num>
  <w:num w:numId="23">
    <w:abstractNumId w:val="9"/>
  </w:num>
  <w:num w:numId="24">
    <w:abstractNumId w:val="25"/>
  </w:num>
  <w:num w:numId="25">
    <w:abstractNumId w:val="15"/>
  </w:num>
  <w:num w:numId="26">
    <w:abstractNumId w:val="4"/>
  </w:num>
  <w:num w:numId="27">
    <w:abstractNumId w:val="13"/>
  </w:num>
  <w:num w:numId="28">
    <w:abstractNumId w:val="19"/>
  </w:num>
  <w:num w:numId="29">
    <w:abstractNumId w:val="2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C5085"/>
    <w:rsid w:val="00176C40"/>
    <w:rsid w:val="001C4D6D"/>
    <w:rsid w:val="002369D0"/>
    <w:rsid w:val="00271DAF"/>
    <w:rsid w:val="00287D7B"/>
    <w:rsid w:val="002F0CAA"/>
    <w:rsid w:val="00327227"/>
    <w:rsid w:val="0033610A"/>
    <w:rsid w:val="0041600B"/>
    <w:rsid w:val="00467353"/>
    <w:rsid w:val="006E44FA"/>
    <w:rsid w:val="007B3EA2"/>
    <w:rsid w:val="00903F48"/>
    <w:rsid w:val="00B735DC"/>
    <w:rsid w:val="00DC5289"/>
    <w:rsid w:val="00E050EB"/>
    <w:rsid w:val="00FC5085"/>
    <w:rsid w:val="00FC73E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rFonts w:eastAsiaTheme="minorEastAsia"/>
      <w:color w:val="000000"/>
      <w:sz w:val="24"/>
      <w:szCs w:val="24"/>
    </w:rPr>
  </w:style>
  <w:style w:type="paragraph" w:styleId="Heading2">
    <w:name w:val="heading 2"/>
    <w:basedOn w:val="Normal"/>
    <w:link w:val="Heading2Char"/>
    <w:uiPriority w:val="9"/>
    <w:qFormat/>
    <w:pPr>
      <w:spacing w:before="100" w:beforeAutospacing="1" w:after="100" w:afterAutospacing="1"/>
      <w:outlineLvl w:val="1"/>
    </w:pPr>
    <w:rPr>
      <w:rFonts w:ascii="Verdana" w:hAnsi="Verdana"/>
      <w:b/>
      <w:bCs/>
      <w:sz w:val="36"/>
      <w:szCs w:val="36"/>
    </w:rPr>
  </w:style>
  <w:style w:type="paragraph" w:styleId="Heading3">
    <w:name w:val="heading 3"/>
    <w:basedOn w:val="Normal"/>
    <w:link w:val="Heading3Char"/>
    <w:uiPriority w:val="9"/>
    <w:qFormat/>
    <w:pPr>
      <w:spacing w:before="100" w:beforeAutospacing="1" w:after="100" w:afterAutospacing="1"/>
      <w:outlineLvl w:val="2"/>
    </w:pPr>
    <w:rPr>
      <w:rFonts w:ascii="Verdana" w:hAnsi="Verdana"/>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semiHidden/>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semiHidden/>
    <w:rPr>
      <w:rFonts w:asciiTheme="majorHAnsi" w:eastAsiaTheme="majorEastAsia" w:hAnsiTheme="majorHAnsi" w:cstheme="majorBidi"/>
      <w:b/>
      <w:bCs/>
      <w:color w:val="4F81BD" w:themeColor="accent1"/>
      <w:sz w:val="24"/>
      <w:szCs w:val="24"/>
    </w:rPr>
  </w:style>
  <w:style w:type="paragraph" w:customStyle="1" w:styleId="pagebreak">
    <w:name w:val="pagebreak"/>
    <w:basedOn w:val="Normal"/>
    <w:pPr>
      <w:pageBreakBefore/>
      <w:spacing w:before="100" w:beforeAutospacing="1" w:after="100" w:afterAutospacing="1"/>
    </w:pPr>
  </w:style>
  <w:style w:type="paragraph" w:customStyle="1" w:styleId="roman">
    <w:name w:val="roman"/>
    <w:basedOn w:val="Normal"/>
    <w:pPr>
      <w:spacing w:before="100" w:beforeAutospacing="1" w:after="100" w:afterAutospacing="1"/>
    </w:pPr>
  </w:style>
  <w:style w:type="paragraph" w:customStyle="1" w:styleId="bitsmaller">
    <w:name w:val="bitsmaller"/>
    <w:basedOn w:val="Normal"/>
    <w:pPr>
      <w:spacing w:before="100" w:beforeAutospacing="1" w:after="100" w:afterAutospacing="1"/>
    </w:pPr>
    <w:rPr>
      <w:sz w:val="20"/>
      <w:szCs w:val="20"/>
    </w:rPr>
  </w:style>
  <w:style w:type="paragraph" w:customStyle="1" w:styleId="myred">
    <w:name w:val="myred"/>
    <w:basedOn w:val="Normal"/>
    <w:pPr>
      <w:spacing w:before="100" w:beforeAutospacing="1" w:after="100" w:afterAutospacing="1"/>
    </w:pPr>
    <w:rPr>
      <w:color w:val="990000"/>
    </w:rPr>
  </w:style>
  <w:style w:type="paragraph" w:customStyle="1" w:styleId="bitlarger">
    <w:name w:val="bitlarger"/>
    <w:basedOn w:val="Normal"/>
    <w:pPr>
      <w:spacing w:before="100" w:beforeAutospacing="1" w:after="100" w:afterAutospacing="1"/>
    </w:pPr>
    <w:rPr>
      <w:sz w:val="27"/>
      <w:szCs w:val="27"/>
    </w:rPr>
  </w:style>
  <w:style w:type="paragraph" w:styleId="NormalWeb">
    <w:name w:val="Normal (Web)"/>
    <w:basedOn w:val="Normal"/>
    <w:uiPriority w:val="99"/>
    <w:semiHidden/>
    <w:unhideWhenUsed/>
    <w:pPr>
      <w:spacing w:before="100" w:beforeAutospacing="1" w:after="100" w:afterAutospacing="1"/>
    </w:pPr>
  </w:style>
  <w:style w:type="character" w:styleId="Strong">
    <w:name w:val="Strong"/>
    <w:basedOn w:val="DefaultParagraphFont"/>
    <w:uiPriority w:val="22"/>
    <w:qFormat/>
    <w:rPr>
      <w:b/>
      <w:bCs/>
    </w:rPr>
  </w:style>
  <w:style w:type="character" w:styleId="Emphasis">
    <w:name w:val="Emphasis"/>
    <w:basedOn w:val="DefaultParagraphFont"/>
    <w:uiPriority w:val="20"/>
    <w:qFormat/>
    <w:rPr>
      <w:i/>
      <w:iCs/>
    </w:rPr>
  </w:style>
  <w:style w:type="paragraph" w:styleId="Header">
    <w:name w:val="header"/>
    <w:basedOn w:val="Normal"/>
    <w:link w:val="HeaderChar"/>
    <w:uiPriority w:val="99"/>
    <w:unhideWhenUsed/>
    <w:rsid w:val="00E050EB"/>
    <w:pPr>
      <w:tabs>
        <w:tab w:val="center" w:pos="4680"/>
        <w:tab w:val="right" w:pos="9360"/>
      </w:tabs>
    </w:pPr>
  </w:style>
  <w:style w:type="character" w:customStyle="1" w:styleId="HeaderChar">
    <w:name w:val="Header Char"/>
    <w:basedOn w:val="DefaultParagraphFont"/>
    <w:link w:val="Header"/>
    <w:uiPriority w:val="99"/>
    <w:rsid w:val="00E050EB"/>
    <w:rPr>
      <w:rFonts w:eastAsiaTheme="minorEastAsia"/>
      <w:color w:val="000000"/>
      <w:sz w:val="24"/>
      <w:szCs w:val="24"/>
    </w:rPr>
  </w:style>
  <w:style w:type="paragraph" w:styleId="Footer">
    <w:name w:val="footer"/>
    <w:basedOn w:val="Normal"/>
    <w:link w:val="FooterChar"/>
    <w:uiPriority w:val="99"/>
    <w:unhideWhenUsed/>
    <w:rsid w:val="00E050EB"/>
    <w:pPr>
      <w:tabs>
        <w:tab w:val="center" w:pos="4680"/>
        <w:tab w:val="right" w:pos="9360"/>
      </w:tabs>
    </w:pPr>
  </w:style>
  <w:style w:type="character" w:customStyle="1" w:styleId="FooterChar">
    <w:name w:val="Footer Char"/>
    <w:basedOn w:val="DefaultParagraphFont"/>
    <w:link w:val="Footer"/>
    <w:uiPriority w:val="99"/>
    <w:rsid w:val="00E050EB"/>
    <w:rPr>
      <w:rFonts w:eastAsiaTheme="minorEastAsia"/>
      <w:color w:val="000000"/>
      <w:sz w:val="24"/>
      <w:szCs w:val="24"/>
    </w:rPr>
  </w:style>
  <w:style w:type="paragraph" w:styleId="BalloonText">
    <w:name w:val="Balloon Text"/>
    <w:basedOn w:val="Normal"/>
    <w:link w:val="BalloonTextChar"/>
    <w:uiPriority w:val="99"/>
    <w:semiHidden/>
    <w:unhideWhenUsed/>
    <w:rsid w:val="00DC5289"/>
    <w:rPr>
      <w:rFonts w:ascii="Tahoma" w:hAnsi="Tahoma" w:cs="Tahoma"/>
      <w:sz w:val="16"/>
      <w:szCs w:val="16"/>
    </w:rPr>
  </w:style>
  <w:style w:type="character" w:customStyle="1" w:styleId="BalloonTextChar">
    <w:name w:val="Balloon Text Char"/>
    <w:basedOn w:val="DefaultParagraphFont"/>
    <w:link w:val="BalloonText"/>
    <w:uiPriority w:val="99"/>
    <w:semiHidden/>
    <w:rsid w:val="00DC5289"/>
    <w:rPr>
      <w:rFonts w:ascii="Tahoma" w:eastAsiaTheme="minorEastAsia" w:hAnsi="Tahoma" w:cs="Tahoma"/>
      <w:color w:val="000000"/>
      <w:sz w:val="16"/>
      <w:szCs w:val="16"/>
    </w:rPr>
  </w:style>
  <w:style w:type="character" w:styleId="Hyperlink">
    <w:name w:val="Hyperlink"/>
    <w:basedOn w:val="DefaultParagraphFont"/>
    <w:uiPriority w:val="99"/>
    <w:semiHidden/>
    <w:unhideWhenUsed/>
    <w:rsid w:val="00467353"/>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rFonts w:eastAsiaTheme="minorEastAsia"/>
      <w:color w:val="000000"/>
      <w:sz w:val="24"/>
      <w:szCs w:val="24"/>
    </w:rPr>
  </w:style>
  <w:style w:type="paragraph" w:styleId="Heading2">
    <w:name w:val="heading 2"/>
    <w:basedOn w:val="Normal"/>
    <w:link w:val="Heading2Char"/>
    <w:uiPriority w:val="9"/>
    <w:qFormat/>
    <w:pPr>
      <w:spacing w:before="100" w:beforeAutospacing="1" w:after="100" w:afterAutospacing="1"/>
      <w:outlineLvl w:val="1"/>
    </w:pPr>
    <w:rPr>
      <w:rFonts w:ascii="Verdana" w:hAnsi="Verdana"/>
      <w:b/>
      <w:bCs/>
      <w:sz w:val="36"/>
      <w:szCs w:val="36"/>
    </w:rPr>
  </w:style>
  <w:style w:type="paragraph" w:styleId="Heading3">
    <w:name w:val="heading 3"/>
    <w:basedOn w:val="Normal"/>
    <w:link w:val="Heading3Char"/>
    <w:uiPriority w:val="9"/>
    <w:qFormat/>
    <w:pPr>
      <w:spacing w:before="100" w:beforeAutospacing="1" w:after="100" w:afterAutospacing="1"/>
      <w:outlineLvl w:val="2"/>
    </w:pPr>
    <w:rPr>
      <w:rFonts w:ascii="Verdana" w:hAnsi="Verdana"/>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semiHidden/>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semiHidden/>
    <w:rPr>
      <w:rFonts w:asciiTheme="majorHAnsi" w:eastAsiaTheme="majorEastAsia" w:hAnsiTheme="majorHAnsi" w:cstheme="majorBidi"/>
      <w:b/>
      <w:bCs/>
      <w:color w:val="4F81BD" w:themeColor="accent1"/>
      <w:sz w:val="24"/>
      <w:szCs w:val="24"/>
    </w:rPr>
  </w:style>
  <w:style w:type="paragraph" w:customStyle="1" w:styleId="pagebreak">
    <w:name w:val="pagebreak"/>
    <w:basedOn w:val="Normal"/>
    <w:pPr>
      <w:pageBreakBefore/>
      <w:spacing w:before="100" w:beforeAutospacing="1" w:after="100" w:afterAutospacing="1"/>
    </w:pPr>
  </w:style>
  <w:style w:type="paragraph" w:customStyle="1" w:styleId="roman">
    <w:name w:val="roman"/>
    <w:basedOn w:val="Normal"/>
    <w:pPr>
      <w:spacing w:before="100" w:beforeAutospacing="1" w:after="100" w:afterAutospacing="1"/>
    </w:pPr>
  </w:style>
  <w:style w:type="paragraph" w:customStyle="1" w:styleId="bitsmaller">
    <w:name w:val="bitsmaller"/>
    <w:basedOn w:val="Normal"/>
    <w:pPr>
      <w:spacing w:before="100" w:beforeAutospacing="1" w:after="100" w:afterAutospacing="1"/>
    </w:pPr>
    <w:rPr>
      <w:sz w:val="20"/>
      <w:szCs w:val="20"/>
    </w:rPr>
  </w:style>
  <w:style w:type="paragraph" w:customStyle="1" w:styleId="myred">
    <w:name w:val="myred"/>
    <w:basedOn w:val="Normal"/>
    <w:pPr>
      <w:spacing w:before="100" w:beforeAutospacing="1" w:after="100" w:afterAutospacing="1"/>
    </w:pPr>
    <w:rPr>
      <w:color w:val="990000"/>
    </w:rPr>
  </w:style>
  <w:style w:type="paragraph" w:customStyle="1" w:styleId="bitlarger">
    <w:name w:val="bitlarger"/>
    <w:basedOn w:val="Normal"/>
    <w:pPr>
      <w:spacing w:before="100" w:beforeAutospacing="1" w:after="100" w:afterAutospacing="1"/>
    </w:pPr>
    <w:rPr>
      <w:sz w:val="27"/>
      <w:szCs w:val="27"/>
    </w:rPr>
  </w:style>
  <w:style w:type="paragraph" w:styleId="NormalWeb">
    <w:name w:val="Normal (Web)"/>
    <w:basedOn w:val="Normal"/>
    <w:uiPriority w:val="99"/>
    <w:semiHidden/>
    <w:unhideWhenUsed/>
    <w:pPr>
      <w:spacing w:before="100" w:beforeAutospacing="1" w:after="100" w:afterAutospacing="1"/>
    </w:pPr>
  </w:style>
  <w:style w:type="character" w:styleId="Strong">
    <w:name w:val="Strong"/>
    <w:basedOn w:val="DefaultParagraphFont"/>
    <w:uiPriority w:val="22"/>
    <w:qFormat/>
    <w:rPr>
      <w:b/>
      <w:bCs/>
    </w:rPr>
  </w:style>
  <w:style w:type="character" w:styleId="Emphasis">
    <w:name w:val="Emphasis"/>
    <w:basedOn w:val="DefaultParagraphFont"/>
    <w:uiPriority w:val="20"/>
    <w:qFormat/>
    <w:rPr>
      <w:i/>
      <w:iCs/>
    </w:rPr>
  </w:style>
  <w:style w:type="paragraph" w:styleId="Header">
    <w:name w:val="header"/>
    <w:basedOn w:val="Normal"/>
    <w:link w:val="HeaderChar"/>
    <w:uiPriority w:val="99"/>
    <w:unhideWhenUsed/>
    <w:rsid w:val="00E050EB"/>
    <w:pPr>
      <w:tabs>
        <w:tab w:val="center" w:pos="4680"/>
        <w:tab w:val="right" w:pos="9360"/>
      </w:tabs>
    </w:pPr>
  </w:style>
  <w:style w:type="character" w:customStyle="1" w:styleId="HeaderChar">
    <w:name w:val="Header Char"/>
    <w:basedOn w:val="DefaultParagraphFont"/>
    <w:link w:val="Header"/>
    <w:uiPriority w:val="99"/>
    <w:rsid w:val="00E050EB"/>
    <w:rPr>
      <w:rFonts w:eastAsiaTheme="minorEastAsia"/>
      <w:color w:val="000000"/>
      <w:sz w:val="24"/>
      <w:szCs w:val="24"/>
    </w:rPr>
  </w:style>
  <w:style w:type="paragraph" w:styleId="Footer">
    <w:name w:val="footer"/>
    <w:basedOn w:val="Normal"/>
    <w:link w:val="FooterChar"/>
    <w:uiPriority w:val="99"/>
    <w:unhideWhenUsed/>
    <w:rsid w:val="00E050EB"/>
    <w:pPr>
      <w:tabs>
        <w:tab w:val="center" w:pos="4680"/>
        <w:tab w:val="right" w:pos="9360"/>
      </w:tabs>
    </w:pPr>
  </w:style>
  <w:style w:type="character" w:customStyle="1" w:styleId="FooterChar">
    <w:name w:val="Footer Char"/>
    <w:basedOn w:val="DefaultParagraphFont"/>
    <w:link w:val="Footer"/>
    <w:uiPriority w:val="99"/>
    <w:rsid w:val="00E050EB"/>
    <w:rPr>
      <w:rFonts w:eastAsiaTheme="minorEastAsia"/>
      <w:color w:val="000000"/>
      <w:sz w:val="24"/>
      <w:szCs w:val="24"/>
    </w:rPr>
  </w:style>
  <w:style w:type="paragraph" w:styleId="BalloonText">
    <w:name w:val="Balloon Text"/>
    <w:basedOn w:val="Normal"/>
    <w:link w:val="BalloonTextChar"/>
    <w:uiPriority w:val="99"/>
    <w:semiHidden/>
    <w:unhideWhenUsed/>
    <w:rsid w:val="00DC5289"/>
    <w:rPr>
      <w:rFonts w:ascii="Tahoma" w:hAnsi="Tahoma" w:cs="Tahoma"/>
      <w:sz w:val="16"/>
      <w:szCs w:val="16"/>
    </w:rPr>
  </w:style>
  <w:style w:type="character" w:customStyle="1" w:styleId="BalloonTextChar">
    <w:name w:val="Balloon Text Char"/>
    <w:basedOn w:val="DefaultParagraphFont"/>
    <w:link w:val="BalloonText"/>
    <w:uiPriority w:val="99"/>
    <w:semiHidden/>
    <w:rsid w:val="00DC5289"/>
    <w:rPr>
      <w:rFonts w:ascii="Tahoma" w:eastAsiaTheme="minorEastAsia" w:hAnsi="Tahoma" w:cs="Tahoma"/>
      <w:color w:val="000000"/>
      <w:sz w:val="16"/>
      <w:szCs w:val="16"/>
    </w:rPr>
  </w:style>
  <w:style w:type="character" w:styleId="Hyperlink">
    <w:name w:val="Hyperlink"/>
    <w:basedOn w:val="DefaultParagraphFont"/>
    <w:uiPriority w:val="99"/>
    <w:semiHidden/>
    <w:unhideWhenUsed/>
    <w:rsid w:val="00467353"/>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97227328">
      <w:blockQuote w:val="1"/>
      <w:marLeft w:val="720"/>
      <w:marRight w:val="720"/>
      <w:marTop w:val="100"/>
      <w:marBottom w:val="100"/>
      <w:divBdr>
        <w:top w:val="none" w:sz="0" w:space="0" w:color="auto"/>
        <w:left w:val="none" w:sz="0" w:space="0" w:color="auto"/>
        <w:bottom w:val="none" w:sz="0" w:space="0" w:color="auto"/>
        <w:right w:val="none" w:sz="0" w:space="0" w:color="auto"/>
      </w:divBdr>
    </w:div>
    <w:div w:id="877741676">
      <w:marLeft w:val="0"/>
      <w:marRight w:val="0"/>
      <w:marTop w:val="0"/>
      <w:marBottom w:val="0"/>
      <w:divBdr>
        <w:top w:val="none" w:sz="0" w:space="0" w:color="auto"/>
        <w:left w:val="none" w:sz="0" w:space="0" w:color="auto"/>
        <w:bottom w:val="none" w:sz="0" w:space="0" w:color="auto"/>
        <w:right w:val="none" w:sz="0" w:space="0" w:color="auto"/>
      </w:divBdr>
      <w:divsChild>
        <w:div w:id="186058098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217594022">
      <w:bodyDiv w:val="1"/>
      <w:marLeft w:val="0"/>
      <w:marRight w:val="0"/>
      <w:marTop w:val="0"/>
      <w:marBottom w:val="0"/>
      <w:divBdr>
        <w:top w:val="none" w:sz="0" w:space="0" w:color="auto"/>
        <w:left w:val="none" w:sz="0" w:space="0" w:color="auto"/>
        <w:bottom w:val="none" w:sz="0" w:space="0" w:color="auto"/>
        <w:right w:val="none" w:sz="0" w:space="0" w:color="auto"/>
      </w:divBdr>
    </w:div>
    <w:div w:id="1468357961">
      <w:bodyDiv w:val="1"/>
      <w:marLeft w:val="0"/>
      <w:marRight w:val="0"/>
      <w:marTop w:val="0"/>
      <w:marBottom w:val="0"/>
      <w:divBdr>
        <w:top w:val="none" w:sz="0" w:space="0" w:color="auto"/>
        <w:left w:val="none" w:sz="0" w:space="0" w:color="auto"/>
        <w:bottom w:val="none" w:sz="0" w:space="0" w:color="auto"/>
        <w:right w:val="none" w:sz="0" w:space="0" w:color="auto"/>
      </w:divBdr>
      <w:divsChild>
        <w:div w:id="1476876861">
          <w:blockQuote w:val="1"/>
          <w:marLeft w:val="720"/>
          <w:marRight w:val="720"/>
          <w:marTop w:val="100"/>
          <w:marBottom w:val="100"/>
          <w:divBdr>
            <w:top w:val="none" w:sz="0" w:space="0" w:color="auto"/>
            <w:left w:val="none" w:sz="0" w:space="0" w:color="auto"/>
            <w:bottom w:val="none" w:sz="0" w:space="0" w:color="auto"/>
            <w:right w:val="none" w:sz="0" w:space="0" w:color="auto"/>
          </w:divBdr>
        </w:div>
        <w:div w:id="2125075710">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12</TotalTime>
  <Pages>3</Pages>
  <Words>1142</Words>
  <Characters>6772</Characters>
  <Application>Microsoft Office Word</Application>
  <DocSecurity>0</DocSecurity>
  <Lines>56</Lines>
  <Paragraphs>15</Paragraphs>
  <ScaleCrop>false</ScaleCrop>
  <HeadingPairs>
    <vt:vector size="2" baseType="variant">
      <vt:variant>
        <vt:lpstr>Title</vt:lpstr>
      </vt:variant>
      <vt:variant>
        <vt:i4>1</vt:i4>
      </vt:variant>
    </vt:vector>
  </HeadingPairs>
  <TitlesOfParts>
    <vt:vector size="1" baseType="lpstr">
      <vt:lpstr>Phil Weinstein / Accomplishments -- December 2014</vt:lpstr>
    </vt:vector>
  </TitlesOfParts>
  <Company/>
  <LinksUpToDate>false</LinksUpToDate>
  <CharactersWithSpaces>7899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Phil Weinstein / Accomplishments -- December 2014</dc:title>
  <dc:creator>Philip J Weinstein</dc:creator>
  <cp:lastModifiedBy>Philip J Weinstein</cp:lastModifiedBy>
  <cp:revision>5</cp:revision>
  <cp:lastPrinted>2015-04-02T19:50:00Z</cp:lastPrinted>
  <dcterms:created xsi:type="dcterms:W3CDTF">2015-04-02T19:42:00Z</dcterms:created>
  <dcterms:modified xsi:type="dcterms:W3CDTF">2015-04-02T19:54:00Z</dcterms:modified>
</cp:coreProperties>
</file>