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67353" w:rsidRPr="00467353" w:rsidRDefault="00467353" w:rsidP="00467353">
      <w:pPr>
        <w:spacing w:before="100" w:beforeAutospacing="1" w:after="100" w:afterAutospacing="1"/>
        <w:rPr>
          <w:rFonts w:eastAsia="Times New Roman"/>
          <w:color w:val="auto"/>
        </w:rPr>
      </w:pPr>
      <w:bookmarkStart w:id="0" w:name="_GoBack"/>
      <w:bookmarkEnd w:id="0"/>
      <w:r w:rsidRPr="00467353">
        <w:rPr>
          <w:rFonts w:eastAsia="Times New Roman"/>
          <w:b/>
          <w:bCs/>
          <w:color w:val="auto"/>
        </w:rPr>
        <w:t>Phil Weinstein / Accomplishments -- February 2015 -- Edit 3-02-2015</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4437"/>
      </w:tblGrid>
      <w:tr w:rsidR="00467353" w:rsidRPr="00467353" w:rsidTr="004673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7353" w:rsidRPr="00467353" w:rsidRDefault="00467353" w:rsidP="00467353">
            <w:pPr>
              <w:rPr>
                <w:rFonts w:eastAsia="Times New Roman"/>
                <w:color w:val="auto"/>
              </w:rPr>
            </w:pPr>
            <w:r w:rsidRPr="00467353">
              <w:rPr>
                <w:rFonts w:eastAsia="Times New Roman"/>
                <w:b/>
                <w:bCs/>
                <w:color w:val="auto"/>
              </w:rPr>
              <w:t>General Development Accomplishments</w:t>
            </w:r>
          </w:p>
        </w:tc>
      </w:tr>
    </w:tbl>
    <w:p w:rsidR="00467353" w:rsidRPr="00467353" w:rsidRDefault="00467353" w:rsidP="00467353">
      <w:pPr>
        <w:spacing w:before="100" w:beforeAutospacing="1" w:after="100" w:afterAutospacing="1"/>
        <w:rPr>
          <w:rFonts w:eastAsia="Times New Roman"/>
          <w:color w:val="auto"/>
        </w:rPr>
      </w:pPr>
      <w:proofErr w:type="gramStart"/>
      <w:r w:rsidRPr="00467353">
        <w:rPr>
          <w:rFonts w:eastAsia="Times New Roman"/>
          <w:color w:val="auto"/>
        </w:rPr>
        <w:t>--------------------------------------------</w:t>
      </w:r>
      <w:proofErr w:type="gramEnd"/>
      <w:r w:rsidRPr="00467353">
        <w:rPr>
          <w:rFonts w:eastAsia="Times New Roman"/>
          <w:color w:val="auto"/>
        </w:rPr>
        <w:br/>
        <w:t>[I.A] New/Enhanced Software / TVA [#10] Preschedule SCT Enhancements</w:t>
      </w:r>
      <w:r w:rsidRPr="00467353">
        <w:rPr>
          <w:rFonts w:eastAsia="Times New Roman"/>
          <w:color w:val="auto"/>
        </w:rPr>
        <w:br/>
        <w:t>   SCT: Custom Time-Aggregation Summary Rows: Fix and Usability Enhancements</w:t>
      </w:r>
      <w:r w:rsidRPr="00467353">
        <w:rPr>
          <w:rFonts w:eastAsia="Times New Roman"/>
          <w:color w:val="auto"/>
        </w:rPr>
        <w:br/>
        <w:t xml:space="preserve">-------------------------------------------- </w:t>
      </w:r>
    </w:p>
    <w:p w:rsidR="00467353" w:rsidRPr="00467353" w:rsidRDefault="00467353" w:rsidP="00467353">
      <w:pPr>
        <w:spacing w:before="100" w:beforeAutospacing="1" w:after="100" w:afterAutospacing="1"/>
        <w:rPr>
          <w:rFonts w:eastAsia="Times New Roman"/>
          <w:color w:val="auto"/>
        </w:rPr>
      </w:pPr>
      <w:r w:rsidRPr="00467353">
        <w:rPr>
          <w:rFonts w:eastAsia="Times New Roman"/>
          <w:color w:val="auto"/>
        </w:rPr>
        <w:t xml:space="preserve">The new SCT Custom Time-Aggregation Summary Rows feature was developed in October and November 2014 (for RiverWare 6.6) and was enhanced in January 2015 to support the hiding of individual summary row cells. In February 2015, in the course of TVA's use of this feature to implement a basic form of the Preschedule SCT, a dysfunction was discovered and </w:t>
      </w:r>
      <w:proofErr w:type="gramStart"/>
      <w:r w:rsidRPr="00467353">
        <w:rPr>
          <w:rFonts w:eastAsia="Times New Roman"/>
          <w:color w:val="auto"/>
        </w:rPr>
        <w:t>fixed,</w:t>
      </w:r>
      <w:proofErr w:type="gramEnd"/>
      <w:r w:rsidRPr="00467353">
        <w:rPr>
          <w:rFonts w:eastAsia="Times New Roman"/>
          <w:color w:val="auto"/>
        </w:rPr>
        <w:t xml:space="preserve"> a related usability problems were addressed.</w:t>
      </w:r>
    </w:p>
    <w:p w:rsidR="00467353" w:rsidRPr="00467353" w:rsidRDefault="00467353" w:rsidP="00467353">
      <w:pPr>
        <w:numPr>
          <w:ilvl w:val="0"/>
          <w:numId w:val="21"/>
        </w:numPr>
        <w:spacing w:before="100" w:beforeAutospacing="1" w:after="100" w:afterAutospacing="1"/>
        <w:rPr>
          <w:rFonts w:eastAsia="Times New Roman"/>
          <w:color w:val="auto"/>
        </w:rPr>
      </w:pPr>
      <w:r w:rsidRPr="00467353">
        <w:rPr>
          <w:rFonts w:eastAsia="Times New Roman"/>
          <w:color w:val="auto"/>
        </w:rPr>
        <w:t>In some circumstances, "Slot Reference"-type custom summary row cells were not showing data. This was due to an initialization problem.</w:t>
      </w:r>
    </w:p>
    <w:p w:rsidR="00467353" w:rsidRPr="00467353" w:rsidRDefault="00467353" w:rsidP="00467353">
      <w:pPr>
        <w:numPr>
          <w:ilvl w:val="0"/>
          <w:numId w:val="21"/>
        </w:numPr>
        <w:spacing w:before="100" w:beforeAutospacing="1" w:after="100" w:afterAutospacing="1"/>
        <w:rPr>
          <w:rFonts w:eastAsia="Times New Roman"/>
          <w:color w:val="auto"/>
        </w:rPr>
      </w:pPr>
      <w:r w:rsidRPr="00467353">
        <w:rPr>
          <w:rFonts w:eastAsia="Times New Roman"/>
          <w:color w:val="auto"/>
        </w:rPr>
        <w:t xml:space="preserve">"Slot Reference"-type custom summary row cells (which, in the context of a Preschedule SCT configuration, correspond to a slot on a </w:t>
      </w:r>
      <w:r w:rsidRPr="00467353">
        <w:rPr>
          <w:rFonts w:eastAsia="Times New Roman"/>
          <w:i/>
          <w:iCs/>
          <w:color w:val="auto"/>
        </w:rPr>
        <w:t>different simulation object</w:t>
      </w:r>
      <w:r w:rsidRPr="00467353">
        <w:rPr>
          <w:rFonts w:eastAsia="Times New Roman"/>
          <w:color w:val="auto"/>
        </w:rPr>
        <w:t xml:space="preserve"> for each SCT column) now support this context menu operation to show the slot's open slot dialog: </w:t>
      </w:r>
      <w:r w:rsidRPr="00467353">
        <w:rPr>
          <w:rFonts w:eastAsia="Times New Roman"/>
          <w:b/>
          <w:bCs/>
          <w:color w:val="auto"/>
        </w:rPr>
        <w:t>"Open Custom Summary Slot...</w:t>
      </w:r>
      <w:proofErr w:type="gramStart"/>
      <w:r w:rsidRPr="00467353">
        <w:rPr>
          <w:rFonts w:eastAsia="Times New Roman"/>
          <w:b/>
          <w:bCs/>
          <w:color w:val="auto"/>
        </w:rPr>
        <w:t>"</w:t>
      </w:r>
      <w:r w:rsidRPr="00467353">
        <w:rPr>
          <w:rFonts w:eastAsia="Times New Roman"/>
          <w:color w:val="auto"/>
        </w:rPr>
        <w:t>.</w:t>
      </w:r>
      <w:proofErr w:type="gramEnd"/>
    </w:p>
    <w:p w:rsidR="00467353" w:rsidRPr="00467353" w:rsidRDefault="00467353" w:rsidP="00467353">
      <w:pPr>
        <w:numPr>
          <w:ilvl w:val="0"/>
          <w:numId w:val="21"/>
        </w:numPr>
        <w:spacing w:before="100" w:beforeAutospacing="1" w:after="100" w:afterAutospacing="1"/>
        <w:rPr>
          <w:rFonts w:eastAsia="Times New Roman"/>
          <w:color w:val="auto"/>
        </w:rPr>
      </w:pPr>
      <w:r w:rsidRPr="00467353">
        <w:rPr>
          <w:rFonts w:eastAsia="Times New Roman"/>
          <w:color w:val="auto"/>
        </w:rPr>
        <w:t>When this type of cell is selected, the name of the slot is shown in the status bar. If the slot has the wrong unit type, that is also indicated.</w:t>
      </w:r>
    </w:p>
    <w:p w:rsidR="00467353" w:rsidRPr="00467353" w:rsidRDefault="00467353" w:rsidP="00467353">
      <w:pPr>
        <w:spacing w:before="100" w:beforeAutospacing="1" w:after="100" w:afterAutospacing="1"/>
        <w:rPr>
          <w:rFonts w:eastAsia="Times New Roman"/>
          <w:color w:val="auto"/>
        </w:rPr>
      </w:pPr>
      <w:proofErr w:type="gramStart"/>
      <w:r w:rsidRPr="00467353">
        <w:rPr>
          <w:rFonts w:eastAsia="Times New Roman"/>
          <w:color w:val="auto"/>
        </w:rPr>
        <w:t>--------------------------------------------</w:t>
      </w:r>
      <w:proofErr w:type="gramEnd"/>
      <w:r w:rsidRPr="00467353">
        <w:rPr>
          <w:rFonts w:eastAsia="Times New Roman"/>
          <w:color w:val="auto"/>
        </w:rPr>
        <w:br/>
        <w:t>[I.A] New/Enhanced Software / BOR-ABQ [_____]</w:t>
      </w:r>
      <w:r w:rsidRPr="00467353">
        <w:rPr>
          <w:rFonts w:eastAsia="Times New Roman"/>
          <w:color w:val="auto"/>
        </w:rPr>
        <w:br/>
        <w:t>   Graphical Teacup and Animation for Links / "Output Canvas" Output Device</w:t>
      </w:r>
      <w:r w:rsidRPr="00467353">
        <w:rPr>
          <w:rFonts w:eastAsia="Times New Roman"/>
          <w:color w:val="auto"/>
        </w:rPr>
        <w:br/>
        <w:t xml:space="preserve">-------------------------------------------- </w:t>
      </w:r>
    </w:p>
    <w:p w:rsidR="00467353" w:rsidRPr="00467353" w:rsidRDefault="00467353" w:rsidP="00467353">
      <w:pPr>
        <w:spacing w:before="100" w:beforeAutospacing="1" w:after="100" w:afterAutospacing="1"/>
        <w:rPr>
          <w:rFonts w:eastAsia="Times New Roman"/>
          <w:color w:val="auto"/>
        </w:rPr>
      </w:pPr>
      <w:r w:rsidRPr="00467353">
        <w:rPr>
          <w:rFonts w:eastAsia="Times New Roman"/>
          <w:color w:val="auto"/>
        </w:rPr>
        <w:t>Provisional flow line development from two months prior (in December 2014) was completed as a deliverable feature in February 2015 for RiverWare 6.7. Flow line, and related output canvas development in February included the following features:</w:t>
      </w:r>
    </w:p>
    <w:p w:rsidR="00467353" w:rsidRPr="00467353" w:rsidRDefault="00467353" w:rsidP="00467353">
      <w:pPr>
        <w:numPr>
          <w:ilvl w:val="0"/>
          <w:numId w:val="22"/>
        </w:numPr>
        <w:spacing w:before="100" w:beforeAutospacing="1" w:after="100" w:afterAutospacing="1"/>
        <w:rPr>
          <w:rFonts w:eastAsia="Times New Roman"/>
          <w:color w:val="auto"/>
        </w:rPr>
      </w:pPr>
      <w:r w:rsidRPr="00467353">
        <w:rPr>
          <w:rFonts w:eastAsia="Times New Roman"/>
          <w:color w:val="auto"/>
        </w:rPr>
        <w:t xml:space="preserve">Flow line </w:t>
      </w:r>
      <w:r w:rsidRPr="00467353">
        <w:rPr>
          <w:rFonts w:eastAsia="Times New Roman"/>
          <w:i/>
          <w:iCs/>
          <w:color w:val="auto"/>
        </w:rPr>
        <w:t>color</w:t>
      </w:r>
      <w:r w:rsidRPr="00467353">
        <w:rPr>
          <w:rFonts w:eastAsia="Times New Roman"/>
          <w:color w:val="auto"/>
        </w:rPr>
        <w:t xml:space="preserve"> and </w:t>
      </w:r>
      <w:r w:rsidRPr="00467353">
        <w:rPr>
          <w:rFonts w:eastAsia="Times New Roman"/>
          <w:i/>
          <w:iCs/>
          <w:color w:val="auto"/>
        </w:rPr>
        <w:t>line style</w:t>
      </w:r>
      <w:r w:rsidRPr="00467353">
        <w:rPr>
          <w:rFonts w:eastAsia="Times New Roman"/>
          <w:color w:val="auto"/>
        </w:rPr>
        <w:t xml:space="preserve"> (e.g. solid or dashed) indicate values exceeding user-defined threshold values. These display attributes -- for a set of up to nine value intervals -- are defined at the flow line </w:t>
      </w:r>
      <w:r w:rsidRPr="00467353">
        <w:rPr>
          <w:rFonts w:eastAsia="Times New Roman"/>
          <w:i/>
          <w:iCs/>
          <w:color w:val="auto"/>
        </w:rPr>
        <w:t>group</w:t>
      </w:r>
      <w:r w:rsidRPr="00467353">
        <w:rPr>
          <w:rFonts w:eastAsia="Times New Roman"/>
          <w:color w:val="auto"/>
        </w:rPr>
        <w:t xml:space="preserve"> level. Threshold values are independently defined for each flow line </w:t>
      </w:r>
      <w:r w:rsidRPr="00467353">
        <w:rPr>
          <w:rFonts w:eastAsia="Times New Roman"/>
          <w:i/>
          <w:iCs/>
          <w:color w:val="auto"/>
        </w:rPr>
        <w:t>instance</w:t>
      </w:r>
      <w:r w:rsidRPr="00467353">
        <w:rPr>
          <w:rFonts w:eastAsia="Times New Roman"/>
          <w:color w:val="auto"/>
        </w:rPr>
        <w:t>. Currently, threshold values can be expressed only as constants. (In the future, we may want to support references to series or periodic slots for some of a flow line's threshold values).</w:t>
      </w:r>
    </w:p>
    <w:p w:rsidR="00467353" w:rsidRPr="00467353" w:rsidRDefault="00467353" w:rsidP="00467353">
      <w:pPr>
        <w:numPr>
          <w:ilvl w:val="0"/>
          <w:numId w:val="22"/>
        </w:numPr>
        <w:spacing w:before="100" w:beforeAutospacing="1" w:after="100" w:afterAutospacing="1"/>
        <w:rPr>
          <w:rFonts w:eastAsia="Times New Roman"/>
          <w:color w:val="auto"/>
        </w:rPr>
      </w:pPr>
      <w:r w:rsidRPr="00467353">
        <w:rPr>
          <w:rFonts w:eastAsia="Times New Roman"/>
          <w:color w:val="auto"/>
        </w:rPr>
        <w:t xml:space="preserve">Simplification of flow line slot references. Each flow line instance now has a complete, independent slot reference (i.e. no longer restricted to a local slot name defined by the containing flow line </w:t>
      </w:r>
      <w:r w:rsidRPr="00467353">
        <w:rPr>
          <w:rFonts w:eastAsia="Times New Roman"/>
          <w:i/>
          <w:iCs/>
          <w:color w:val="auto"/>
        </w:rPr>
        <w:t>group</w:t>
      </w:r>
      <w:r w:rsidRPr="00467353">
        <w:rPr>
          <w:rFonts w:eastAsia="Times New Roman"/>
          <w:color w:val="auto"/>
        </w:rPr>
        <w:t>). The only restriction is that the slots for all flow lines within a flow line group must have the same unit type; typically this will be "flow".</w:t>
      </w:r>
    </w:p>
    <w:p w:rsidR="00467353" w:rsidRPr="00467353" w:rsidRDefault="00467353" w:rsidP="00467353">
      <w:pPr>
        <w:numPr>
          <w:ilvl w:val="0"/>
          <w:numId w:val="22"/>
        </w:numPr>
        <w:spacing w:before="100" w:beforeAutospacing="1" w:after="100" w:afterAutospacing="1"/>
        <w:rPr>
          <w:rFonts w:eastAsia="Times New Roman"/>
          <w:color w:val="auto"/>
        </w:rPr>
      </w:pPr>
      <w:r w:rsidRPr="00467353">
        <w:rPr>
          <w:rFonts w:eastAsia="Times New Roman"/>
          <w:color w:val="auto"/>
        </w:rPr>
        <w:t xml:space="preserve">Object icon groups and object icons. This new type of output canvas graphic object is typically used with flow lines. Object icons are associated with a particular simulation object (as are teacups), and provide direct access to their simulation object's open object dialog. Object icon groups support optional dynamic text items which can include values of slots on the object or related data object. This is analogous to </w:t>
      </w:r>
      <w:r w:rsidRPr="00467353">
        <w:rPr>
          <w:rFonts w:eastAsia="Times New Roman"/>
          <w:i/>
          <w:iCs/>
          <w:color w:val="auto"/>
        </w:rPr>
        <w:t>teacup text item</w:t>
      </w:r>
      <w:r w:rsidRPr="00467353">
        <w:rPr>
          <w:rFonts w:eastAsia="Times New Roman"/>
          <w:color w:val="auto"/>
        </w:rPr>
        <w:t xml:space="preserve"> support.</w:t>
      </w:r>
    </w:p>
    <w:p w:rsidR="00467353" w:rsidRPr="00467353" w:rsidRDefault="00467353" w:rsidP="00467353">
      <w:pPr>
        <w:numPr>
          <w:ilvl w:val="0"/>
          <w:numId w:val="22"/>
        </w:numPr>
        <w:spacing w:before="100" w:beforeAutospacing="1" w:after="100" w:afterAutospacing="1"/>
        <w:rPr>
          <w:rFonts w:eastAsia="Times New Roman"/>
          <w:color w:val="auto"/>
        </w:rPr>
      </w:pPr>
      <w:r w:rsidRPr="00467353">
        <w:rPr>
          <w:rFonts w:eastAsia="Times New Roman"/>
          <w:color w:val="auto"/>
        </w:rPr>
        <w:t xml:space="preserve">Flow lines as "poly-lines" -- supporting more than two vertices. In the output canvas configuration dialog, flow lines are initially created with two points; additional points can be added using context </w:t>
      </w:r>
      <w:r w:rsidRPr="00467353">
        <w:rPr>
          <w:rFonts w:eastAsia="Times New Roman"/>
          <w:color w:val="auto"/>
        </w:rPr>
        <w:lastRenderedPageBreak/>
        <w:t>menu operations. Both individual points and the whole flow line can be dragged to a new location within the canvas.</w:t>
      </w:r>
    </w:p>
    <w:p w:rsidR="00467353" w:rsidRPr="00467353" w:rsidRDefault="00467353" w:rsidP="00467353">
      <w:pPr>
        <w:spacing w:before="100" w:beforeAutospacing="1" w:after="100" w:afterAutospacing="1"/>
        <w:rPr>
          <w:rFonts w:eastAsia="Times New Roman"/>
          <w:color w:val="auto"/>
        </w:rPr>
      </w:pPr>
      <w:r w:rsidRPr="00467353">
        <w:rPr>
          <w:rFonts w:eastAsia="Times New Roman"/>
          <w:color w:val="auto"/>
        </w:rPr>
        <w:t xml:space="preserve">The following document provides a comprehensive description of the current output canvas flow line capabilities. This includes features developed in December 2014 and </w:t>
      </w:r>
      <w:r w:rsidR="00287D7B">
        <w:rPr>
          <w:rFonts w:eastAsia="Times New Roman"/>
          <w:color w:val="auto"/>
        </w:rPr>
        <w:t>February</w:t>
      </w:r>
      <w:r w:rsidRPr="00467353">
        <w:rPr>
          <w:rFonts w:eastAsia="Times New Roman"/>
          <w:color w:val="auto"/>
        </w:rPr>
        <w:t xml:space="preserve"> 2015:</w:t>
      </w:r>
    </w:p>
    <w:p w:rsidR="00467353" w:rsidRPr="00467353" w:rsidRDefault="00467353" w:rsidP="00467353">
      <w:pPr>
        <w:numPr>
          <w:ilvl w:val="0"/>
          <w:numId w:val="23"/>
        </w:numPr>
        <w:spacing w:before="100" w:beforeAutospacing="1" w:after="100" w:afterAutospacing="1"/>
        <w:rPr>
          <w:rFonts w:eastAsia="Times New Roman"/>
          <w:color w:val="auto"/>
        </w:rPr>
      </w:pPr>
      <w:r w:rsidRPr="00467353">
        <w:rPr>
          <w:rFonts w:eastAsia="Times New Roman"/>
          <w:b/>
          <w:bCs/>
          <w:color w:val="auto"/>
        </w:rPr>
        <w:t>RiverWare 6.7 Development -- Outp</w:t>
      </w:r>
      <w:r>
        <w:rPr>
          <w:rFonts w:eastAsia="Times New Roman"/>
          <w:b/>
          <w:bCs/>
          <w:color w:val="auto"/>
        </w:rPr>
        <w:t>ut Canvas Flow Lines / Feb. 2015</w:t>
      </w:r>
      <w:r w:rsidRPr="00467353">
        <w:rPr>
          <w:rFonts w:eastAsia="Times New Roman"/>
          <w:color w:val="auto"/>
        </w:rPr>
        <w:br/>
        <w:t>R:\doc\Output\OutputCanvas\2015\FlowLinesFeatures-Feb2015.docx [17 pp.]</w:t>
      </w:r>
      <w:r w:rsidRPr="00467353">
        <w:rPr>
          <w:rFonts w:eastAsia="Times New Roman"/>
          <w:color w:val="auto"/>
        </w:rPr>
        <w:br/>
        <w:t>R:\doc\Output\OutputCanvas\2015\FlowLinesFeatures-Feb2015-26.pdf</w:t>
      </w:r>
      <w:r w:rsidRPr="00467353">
        <w:rPr>
          <w:rFonts w:eastAsia="Times New Roman"/>
          <w:color w:val="auto"/>
        </w:rPr>
        <w:b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5237"/>
      </w:tblGrid>
      <w:tr w:rsidR="00467353" w:rsidRPr="00467353" w:rsidTr="004673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7353" w:rsidRPr="00467353" w:rsidRDefault="00467353" w:rsidP="00467353">
            <w:pPr>
              <w:rPr>
                <w:rFonts w:eastAsia="Times New Roman"/>
                <w:color w:val="auto"/>
              </w:rPr>
            </w:pPr>
            <w:r w:rsidRPr="00467353">
              <w:rPr>
                <w:rFonts w:eastAsia="Times New Roman"/>
                <w:b/>
                <w:bCs/>
                <w:color w:val="auto"/>
              </w:rPr>
              <w:t>Maintenance Accomplishments / February 2015</w:t>
            </w:r>
          </w:p>
        </w:tc>
      </w:tr>
    </w:tbl>
    <w:p w:rsidR="00467353" w:rsidRPr="00467353" w:rsidRDefault="00467353" w:rsidP="00467353">
      <w:pPr>
        <w:spacing w:before="100" w:beforeAutospacing="1" w:after="100" w:afterAutospacing="1"/>
        <w:rPr>
          <w:rFonts w:eastAsia="Times New Roman"/>
          <w:color w:val="auto"/>
        </w:rPr>
      </w:pPr>
      <w:proofErr w:type="gramStart"/>
      <w:r w:rsidRPr="00467353">
        <w:rPr>
          <w:rFonts w:eastAsia="Times New Roman"/>
          <w:color w:val="auto"/>
        </w:rPr>
        <w:t>--------------------------------------------</w:t>
      </w:r>
      <w:proofErr w:type="gramEnd"/>
      <w:r w:rsidRPr="00467353">
        <w:rPr>
          <w:rFonts w:eastAsia="Times New Roman"/>
          <w:color w:val="auto"/>
        </w:rPr>
        <w:br/>
        <w:t>[II] RiverWare Software Maintenance / Software Updates / Bug Fixes</w:t>
      </w:r>
      <w:r w:rsidRPr="00467353">
        <w:rPr>
          <w:rFonts w:eastAsia="Times New Roman"/>
          <w:color w:val="auto"/>
        </w:rPr>
        <w:br/>
        <w:t xml:space="preserve">-------------------------------------------- </w:t>
      </w:r>
    </w:p>
    <w:p w:rsidR="00467353" w:rsidRPr="00467353" w:rsidRDefault="00467353" w:rsidP="00467353">
      <w:pPr>
        <w:spacing w:before="100" w:beforeAutospacing="1" w:after="100" w:afterAutospacing="1"/>
        <w:rPr>
          <w:rFonts w:eastAsia="Times New Roman"/>
          <w:color w:val="auto"/>
        </w:rPr>
      </w:pPr>
      <w:r w:rsidRPr="00467353">
        <w:rPr>
          <w:rFonts w:eastAsia="Times New Roman"/>
          <w:color w:val="auto"/>
        </w:rPr>
        <w:t>The following bugs were fixed:</w:t>
      </w:r>
    </w:p>
    <w:p w:rsidR="00467353" w:rsidRPr="00467353" w:rsidRDefault="00467353" w:rsidP="00467353">
      <w:pPr>
        <w:numPr>
          <w:ilvl w:val="0"/>
          <w:numId w:val="24"/>
        </w:numPr>
        <w:spacing w:before="100" w:beforeAutospacing="1" w:after="100" w:afterAutospacing="1"/>
        <w:rPr>
          <w:rFonts w:eastAsia="Times New Roman"/>
          <w:color w:val="auto"/>
        </w:rPr>
      </w:pPr>
      <w:r w:rsidRPr="00467353">
        <w:rPr>
          <w:rFonts w:eastAsia="Times New Roman"/>
          <w:color w:val="auto"/>
        </w:rPr>
        <w:t xml:space="preserve">Bug 5582: Huge delay operating Model Run Analysis dialog's Rules Effects panel with large </w:t>
      </w:r>
      <w:proofErr w:type="spellStart"/>
      <w:r w:rsidRPr="00467353">
        <w:rPr>
          <w:rFonts w:eastAsia="Times New Roman"/>
          <w:color w:val="auto"/>
        </w:rPr>
        <w:t>Ruleset</w:t>
      </w:r>
      <w:proofErr w:type="spellEnd"/>
      <w:r w:rsidRPr="00467353">
        <w:rPr>
          <w:rFonts w:eastAsia="Times New Roman"/>
          <w:color w:val="auto"/>
        </w:rPr>
        <w:t>.</w:t>
      </w:r>
    </w:p>
    <w:p w:rsidR="00467353" w:rsidRPr="00467353" w:rsidRDefault="00467353" w:rsidP="00467353">
      <w:pPr>
        <w:numPr>
          <w:ilvl w:val="0"/>
          <w:numId w:val="24"/>
        </w:numPr>
        <w:spacing w:before="100" w:beforeAutospacing="1" w:after="100" w:afterAutospacing="1"/>
        <w:rPr>
          <w:rFonts w:eastAsia="Times New Roman"/>
          <w:color w:val="auto"/>
        </w:rPr>
      </w:pPr>
      <w:r w:rsidRPr="00467353">
        <w:rPr>
          <w:rFonts w:eastAsia="Times New Roman"/>
          <w:color w:val="auto"/>
        </w:rPr>
        <w:t>Bug 5583: Object Attribute Manager dialog: Missing button icons.</w:t>
      </w:r>
    </w:p>
    <w:p w:rsidR="00467353" w:rsidRPr="00467353" w:rsidRDefault="00467353" w:rsidP="00467353">
      <w:pPr>
        <w:numPr>
          <w:ilvl w:val="0"/>
          <w:numId w:val="24"/>
        </w:numPr>
        <w:spacing w:before="100" w:beforeAutospacing="1" w:after="100" w:afterAutospacing="1"/>
        <w:rPr>
          <w:rFonts w:eastAsia="Times New Roman"/>
          <w:color w:val="auto"/>
        </w:rPr>
      </w:pPr>
      <w:r w:rsidRPr="00467353">
        <w:rPr>
          <w:rFonts w:eastAsia="Times New Roman"/>
          <w:color w:val="auto"/>
        </w:rPr>
        <w:t xml:space="preserve">Bug 5584: Open Account Dialog and SCTs opened from an SCT </w:t>
      </w:r>
      <w:proofErr w:type="gramStart"/>
      <w:r w:rsidRPr="00467353">
        <w:rPr>
          <w:rFonts w:eastAsia="Times New Roman"/>
          <w:color w:val="auto"/>
        </w:rPr>
        <w:t>file are</w:t>
      </w:r>
      <w:proofErr w:type="gramEnd"/>
      <w:r w:rsidRPr="00467353">
        <w:rPr>
          <w:rFonts w:eastAsia="Times New Roman"/>
          <w:color w:val="auto"/>
        </w:rPr>
        <w:t xml:space="preserve"> not initially scrolled to the global time.</w:t>
      </w:r>
    </w:p>
    <w:p w:rsidR="00467353" w:rsidRPr="00467353" w:rsidRDefault="00467353" w:rsidP="00467353">
      <w:pPr>
        <w:numPr>
          <w:ilvl w:val="0"/>
          <w:numId w:val="24"/>
        </w:numPr>
        <w:spacing w:before="100" w:beforeAutospacing="1" w:after="100" w:afterAutospacing="1"/>
        <w:rPr>
          <w:rFonts w:eastAsia="Times New Roman"/>
          <w:color w:val="auto"/>
        </w:rPr>
      </w:pPr>
      <w:r w:rsidRPr="00467353">
        <w:rPr>
          <w:rFonts w:eastAsia="Times New Roman"/>
          <w:color w:val="auto"/>
        </w:rPr>
        <w:t xml:space="preserve">Bug 5587: Open Slot dialog: undesirable </w:t>
      </w:r>
      <w:proofErr w:type="spellStart"/>
      <w:r w:rsidRPr="00467353">
        <w:rPr>
          <w:rFonts w:eastAsia="Times New Roman"/>
          <w:color w:val="auto"/>
        </w:rPr>
        <w:t>rescroll</w:t>
      </w:r>
      <w:proofErr w:type="spellEnd"/>
      <w:r w:rsidRPr="00467353">
        <w:rPr>
          <w:rFonts w:eastAsia="Times New Roman"/>
          <w:color w:val="auto"/>
        </w:rPr>
        <w:t xml:space="preserve"> to selected cells after display change operations.</w:t>
      </w:r>
    </w:p>
    <w:p w:rsidR="00467353" w:rsidRPr="00467353" w:rsidRDefault="00467353" w:rsidP="00467353">
      <w:pPr>
        <w:numPr>
          <w:ilvl w:val="0"/>
          <w:numId w:val="24"/>
        </w:numPr>
        <w:spacing w:before="100" w:beforeAutospacing="1" w:after="100" w:afterAutospacing="1"/>
        <w:rPr>
          <w:rFonts w:eastAsia="Times New Roman"/>
          <w:color w:val="auto"/>
        </w:rPr>
      </w:pPr>
      <w:r w:rsidRPr="00467353">
        <w:rPr>
          <w:rFonts w:eastAsia="Times New Roman"/>
          <w:color w:val="auto"/>
        </w:rPr>
        <w:t xml:space="preserve">Bug 5591: On the Open Object dialog, the input I flag icon was not updating when the </w:t>
      </w:r>
      <w:proofErr w:type="spellStart"/>
      <w:r w:rsidRPr="00467353">
        <w:rPr>
          <w:rFonts w:eastAsia="Times New Roman"/>
          <w:color w:val="auto"/>
        </w:rPr>
        <w:t>timestep</w:t>
      </w:r>
      <w:proofErr w:type="spellEnd"/>
      <w:r w:rsidRPr="00467353">
        <w:rPr>
          <w:rFonts w:eastAsia="Times New Roman"/>
          <w:color w:val="auto"/>
        </w:rPr>
        <w:t xml:space="preserve"> changed.</w:t>
      </w:r>
    </w:p>
    <w:p w:rsidR="00467353" w:rsidRPr="00467353" w:rsidRDefault="00467353" w:rsidP="00467353">
      <w:pPr>
        <w:numPr>
          <w:ilvl w:val="0"/>
          <w:numId w:val="24"/>
        </w:numPr>
        <w:spacing w:before="100" w:beforeAutospacing="1" w:after="100" w:afterAutospacing="1"/>
        <w:rPr>
          <w:rFonts w:eastAsia="Times New Roman"/>
          <w:color w:val="auto"/>
        </w:rPr>
      </w:pPr>
      <w:r w:rsidRPr="00467353">
        <w:rPr>
          <w:rFonts w:eastAsia="Times New Roman"/>
          <w:color w:val="auto"/>
        </w:rPr>
        <w:t>Bug 5594: The SCT could jump to a different tab when removing a slot.</w:t>
      </w:r>
    </w:p>
    <w:p w:rsidR="00467353" w:rsidRPr="00467353" w:rsidRDefault="00467353" w:rsidP="00467353">
      <w:pPr>
        <w:spacing w:before="100" w:beforeAutospacing="1" w:after="100" w:afterAutospacing="1"/>
        <w:rPr>
          <w:rFonts w:eastAsia="Times New Roman"/>
          <w:color w:val="auto"/>
        </w:rPr>
      </w:pPr>
      <w:proofErr w:type="gramStart"/>
      <w:r w:rsidRPr="00467353">
        <w:rPr>
          <w:rFonts w:eastAsia="Times New Roman"/>
          <w:color w:val="auto"/>
        </w:rPr>
        <w:t>--------------------------------------------</w:t>
      </w:r>
      <w:proofErr w:type="gramEnd"/>
      <w:r w:rsidRPr="00467353">
        <w:rPr>
          <w:rFonts w:eastAsia="Times New Roman"/>
          <w:color w:val="auto"/>
        </w:rPr>
        <w:br/>
        <w:t xml:space="preserve">[II] RiverWare Software Maintenance </w:t>
      </w:r>
      <w:r w:rsidRPr="00467353">
        <w:rPr>
          <w:rFonts w:eastAsia="Times New Roman"/>
          <w:color w:val="auto"/>
        </w:rPr>
        <w:br/>
        <w:t>   Removed two unnecessary options to disable data collection for RPL analysis and performance measurement features.</w:t>
      </w:r>
      <w:r w:rsidRPr="00467353">
        <w:rPr>
          <w:rFonts w:eastAsia="Times New Roman"/>
          <w:color w:val="auto"/>
        </w:rPr>
        <w:br/>
        <w:t xml:space="preserve">-------------------------------------------- </w:t>
      </w:r>
    </w:p>
    <w:p w:rsidR="00467353" w:rsidRPr="00467353" w:rsidRDefault="00467353" w:rsidP="00467353">
      <w:pPr>
        <w:spacing w:before="100" w:beforeAutospacing="1" w:after="100" w:afterAutospacing="1"/>
        <w:rPr>
          <w:rFonts w:eastAsia="Times New Roman"/>
          <w:color w:val="auto"/>
        </w:rPr>
      </w:pPr>
      <w:r w:rsidRPr="00467353">
        <w:rPr>
          <w:rFonts w:eastAsia="Times New Roman"/>
          <w:color w:val="auto"/>
        </w:rPr>
        <w:t>Two checkboxes for optionally disabling data collection for analysis features have been removed from the RiverWare user interface. These features are now unconditionally enabled:</w:t>
      </w:r>
    </w:p>
    <w:p w:rsidR="00467353" w:rsidRPr="00467353" w:rsidRDefault="00467353" w:rsidP="00467353">
      <w:pPr>
        <w:numPr>
          <w:ilvl w:val="0"/>
          <w:numId w:val="25"/>
        </w:numPr>
        <w:spacing w:before="100" w:beforeAutospacing="1" w:after="100" w:afterAutospacing="1"/>
        <w:rPr>
          <w:rFonts w:eastAsia="Times New Roman"/>
          <w:color w:val="auto"/>
        </w:rPr>
      </w:pPr>
      <w:r w:rsidRPr="00467353">
        <w:rPr>
          <w:rFonts w:eastAsia="Times New Roman"/>
          <w:b/>
          <w:bCs/>
          <w:color w:val="auto"/>
        </w:rPr>
        <w:t>"Enable Rules Model Run Analysis"</w:t>
      </w:r>
      <w:r w:rsidRPr="00467353">
        <w:rPr>
          <w:rFonts w:eastAsia="Times New Roman"/>
          <w:color w:val="auto"/>
        </w:rPr>
        <w:t xml:space="preserve"> ... in the </w:t>
      </w:r>
      <w:proofErr w:type="spellStart"/>
      <w:r w:rsidRPr="00467353">
        <w:rPr>
          <w:rFonts w:eastAsia="Times New Roman"/>
          <w:color w:val="auto"/>
        </w:rPr>
        <w:t>Rulebased</w:t>
      </w:r>
      <w:proofErr w:type="spellEnd"/>
      <w:r w:rsidRPr="00467353">
        <w:rPr>
          <w:rFonts w:eastAsia="Times New Roman"/>
          <w:color w:val="auto"/>
        </w:rPr>
        <w:t xml:space="preserve"> Simulation Run Parameters dialog, accessible from the Run Control "View" menu.</w:t>
      </w:r>
    </w:p>
    <w:p w:rsidR="00467353" w:rsidRPr="00467353" w:rsidRDefault="00467353" w:rsidP="00467353">
      <w:pPr>
        <w:numPr>
          <w:ilvl w:val="0"/>
          <w:numId w:val="25"/>
        </w:numPr>
        <w:spacing w:before="100" w:beforeAutospacing="1" w:after="100" w:afterAutospacing="1"/>
        <w:rPr>
          <w:rFonts w:eastAsia="Times New Roman"/>
          <w:color w:val="auto"/>
        </w:rPr>
      </w:pPr>
      <w:r w:rsidRPr="00467353">
        <w:rPr>
          <w:rFonts w:eastAsia="Times New Roman"/>
          <w:b/>
          <w:bCs/>
          <w:color w:val="auto"/>
        </w:rPr>
        <w:t>"Collect RPL Set Performance Information"</w:t>
      </w:r>
      <w:r w:rsidRPr="00467353">
        <w:rPr>
          <w:rFonts w:eastAsia="Times New Roman"/>
          <w:color w:val="auto"/>
        </w:rPr>
        <w:t xml:space="preserve"> ... in the RPL Parameters dialog, accessible from the Workspace's "Policy" menu.</w:t>
      </w:r>
    </w:p>
    <w:p w:rsidR="00467353" w:rsidRPr="00467353" w:rsidRDefault="00467353" w:rsidP="00467353">
      <w:pPr>
        <w:spacing w:before="100" w:beforeAutospacing="1" w:after="100" w:afterAutospacing="1"/>
        <w:rPr>
          <w:rFonts w:eastAsia="Times New Roman"/>
          <w:color w:val="auto"/>
        </w:rPr>
      </w:pPr>
      <w:r w:rsidRPr="00467353">
        <w:rPr>
          <w:rFonts w:eastAsia="Times New Roman"/>
          <w:color w:val="auto"/>
        </w:rPr>
        <w:t xml:space="preserve">The first change above involved recoding a series of </w:t>
      </w:r>
      <w:proofErr w:type="spellStart"/>
      <w:r w:rsidRPr="00467353">
        <w:rPr>
          <w:rFonts w:eastAsia="Times New Roman"/>
          <w:color w:val="auto"/>
        </w:rPr>
        <w:t>cwSets</w:t>
      </w:r>
      <w:proofErr w:type="spellEnd"/>
      <w:r w:rsidRPr="00467353">
        <w:rPr>
          <w:rFonts w:eastAsia="Times New Roman"/>
          <w:color w:val="auto"/>
        </w:rPr>
        <w:t xml:space="preserve"> (</w:t>
      </w:r>
      <w:proofErr w:type="spellStart"/>
      <w:r w:rsidRPr="00467353">
        <w:rPr>
          <w:rFonts w:eastAsia="Times New Roman"/>
          <w:color w:val="auto"/>
        </w:rPr>
        <w:t>cwDlists</w:t>
      </w:r>
      <w:proofErr w:type="spellEnd"/>
      <w:r w:rsidRPr="00467353">
        <w:rPr>
          <w:rFonts w:eastAsia="Times New Roman"/>
          <w:color w:val="auto"/>
        </w:rPr>
        <w:t xml:space="preserve">) as a series of bit arrays; this was done as a run-time performance enhancement. See the </w:t>
      </w:r>
      <w:proofErr w:type="spellStart"/>
      <w:r w:rsidRPr="00467353">
        <w:rPr>
          <w:rFonts w:eastAsia="Times New Roman"/>
          <w:color w:val="auto"/>
        </w:rPr>
        <w:t>FastBmap</w:t>
      </w:r>
      <w:proofErr w:type="spellEnd"/>
      <w:r w:rsidRPr="00467353">
        <w:rPr>
          <w:rFonts w:eastAsia="Times New Roman"/>
          <w:color w:val="auto"/>
        </w:rPr>
        <w:t xml:space="preserve"> class in </w:t>
      </w:r>
      <w:proofErr w:type="spellStart"/>
      <w:r w:rsidRPr="00467353">
        <w:rPr>
          <w:rFonts w:eastAsia="Times New Roman"/>
          <w:color w:val="auto"/>
        </w:rPr>
        <w:t>RuleSetMgr</w:t>
      </w:r>
      <w:proofErr w:type="spellEnd"/>
      <w:r w:rsidRPr="00467353">
        <w:rPr>
          <w:rFonts w:eastAsia="Times New Roman"/>
          <w:color w:val="auto"/>
        </w:rPr>
        <w:t>.</w:t>
      </w:r>
    </w:p>
    <w:p w:rsidR="00903F48" w:rsidRPr="00467353" w:rsidRDefault="00467353" w:rsidP="00467353">
      <w:pPr>
        <w:spacing w:before="100" w:beforeAutospacing="1" w:after="100" w:afterAutospacing="1"/>
        <w:rPr>
          <w:rFonts w:eastAsia="Times New Roman"/>
          <w:color w:val="auto"/>
        </w:rPr>
      </w:pPr>
      <w:r w:rsidRPr="00467353">
        <w:rPr>
          <w:rFonts w:eastAsia="Times New Roman"/>
          <w:color w:val="auto"/>
        </w:rPr>
        <w:t>--- (</w:t>
      </w:r>
      <w:proofErr w:type="gramStart"/>
      <w:r w:rsidRPr="00467353">
        <w:rPr>
          <w:rFonts w:eastAsia="Times New Roman"/>
          <w:color w:val="auto"/>
        </w:rPr>
        <w:t>end</w:t>
      </w:r>
      <w:proofErr w:type="gramEnd"/>
      <w:r w:rsidRPr="00467353">
        <w:rPr>
          <w:rFonts w:eastAsia="Times New Roman"/>
          <w:color w:val="auto"/>
        </w:rPr>
        <w:t>) ---</w:t>
      </w:r>
    </w:p>
    <w:sectPr w:rsidR="00903F48" w:rsidRPr="00467353" w:rsidSect="00E050EB">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0EB" w:rsidRDefault="00E050EB" w:rsidP="00E050EB">
      <w:r>
        <w:separator/>
      </w:r>
    </w:p>
  </w:endnote>
  <w:endnote w:type="continuationSeparator" w:id="0">
    <w:p w:rsidR="00E050EB" w:rsidRDefault="00E050EB" w:rsidP="00E05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0EB" w:rsidRPr="00E050EB" w:rsidRDefault="00E050EB">
    <w:pPr>
      <w:pStyle w:val="Footer"/>
      <w:rPr>
        <w:rFonts w:asciiTheme="minorHAnsi" w:hAnsiTheme="minorHAnsi"/>
      </w:rPr>
    </w:pPr>
    <w:r>
      <w:tab/>
    </w:r>
    <w:r>
      <w:tab/>
    </w:r>
    <w:r w:rsidR="00467353">
      <w:rPr>
        <w:rFonts w:asciiTheme="minorHAnsi" w:hAnsiTheme="minorHAnsi"/>
      </w:rPr>
      <w:t>3-02</w:t>
    </w:r>
    <w:r w:rsidRPr="00E050EB">
      <w:rPr>
        <w:rFonts w:asciiTheme="minorHAnsi" w:hAnsiTheme="minorHAnsi"/>
      </w:rP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0EB" w:rsidRDefault="00E050EB" w:rsidP="00E050EB">
      <w:r>
        <w:separator/>
      </w:r>
    </w:p>
  </w:footnote>
  <w:footnote w:type="continuationSeparator" w:id="0">
    <w:p w:rsidR="00E050EB" w:rsidRDefault="00E050EB" w:rsidP="00E05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0EB" w:rsidRPr="00E050EB" w:rsidRDefault="00E050EB" w:rsidP="00E050EB">
    <w:pPr>
      <w:pStyle w:val="Header"/>
      <w:rPr>
        <w:rFonts w:asciiTheme="minorHAnsi" w:hAnsiTheme="minorHAnsi"/>
      </w:rPr>
    </w:pPr>
    <w:r w:rsidRPr="00E050EB">
      <w:rPr>
        <w:rFonts w:asciiTheme="minorHAnsi" w:hAnsiTheme="minorHAnsi"/>
      </w:rPr>
      <w:t xml:space="preserve">Phil Weinstein / Accomplishments – </w:t>
    </w:r>
    <w:r w:rsidR="00467353">
      <w:rPr>
        <w:rFonts w:asciiTheme="minorHAnsi" w:hAnsiTheme="minorHAnsi"/>
      </w:rPr>
      <w:t>February</w:t>
    </w:r>
    <w:r w:rsidRPr="00E050EB">
      <w:rPr>
        <w:rFonts w:asciiTheme="minorHAnsi" w:hAnsiTheme="minorHAnsi"/>
      </w:rPr>
      <w:t xml:space="preserve"> 2015</w:t>
    </w:r>
    <w:r w:rsidRPr="00E050EB">
      <w:rPr>
        <w:rFonts w:asciiTheme="minorHAnsi" w:hAnsiTheme="minorHAnsi"/>
      </w:rPr>
      <w:tab/>
      <w:t xml:space="preserve">Page </w:t>
    </w:r>
    <w:r w:rsidRPr="00E050EB">
      <w:rPr>
        <w:rFonts w:asciiTheme="minorHAnsi" w:hAnsiTheme="minorHAnsi"/>
      </w:rPr>
      <w:fldChar w:fldCharType="begin"/>
    </w:r>
    <w:r w:rsidRPr="00E050EB">
      <w:rPr>
        <w:rFonts w:asciiTheme="minorHAnsi" w:hAnsiTheme="minorHAnsi"/>
      </w:rPr>
      <w:instrText xml:space="preserve"> PAGE  \* Arabic  \* MERGEFORMAT </w:instrText>
    </w:r>
    <w:r w:rsidRPr="00E050EB">
      <w:rPr>
        <w:rFonts w:asciiTheme="minorHAnsi" w:hAnsiTheme="minorHAnsi"/>
      </w:rPr>
      <w:fldChar w:fldCharType="separate"/>
    </w:r>
    <w:r w:rsidR="00176C40">
      <w:rPr>
        <w:rFonts w:asciiTheme="minorHAnsi" w:hAnsiTheme="minorHAnsi"/>
        <w:noProof/>
      </w:rPr>
      <w:t>1</w:t>
    </w:r>
    <w:r w:rsidRPr="00E050EB">
      <w:rPr>
        <w:rFonts w:asciiTheme="minorHAnsi" w:hAnsiTheme="minorHAnsi"/>
      </w:rPr>
      <w:fldChar w:fldCharType="end"/>
    </w:r>
    <w:r w:rsidRPr="00E050EB">
      <w:rPr>
        <w:rFonts w:asciiTheme="minorHAnsi" w:hAnsiTheme="minorHAnsi"/>
      </w:rPr>
      <w:t xml:space="preserve"> of </w:t>
    </w:r>
    <w:r w:rsidRPr="00E050EB">
      <w:rPr>
        <w:rFonts w:asciiTheme="minorHAnsi" w:hAnsiTheme="minorHAnsi"/>
      </w:rPr>
      <w:fldChar w:fldCharType="begin"/>
    </w:r>
    <w:r w:rsidRPr="00E050EB">
      <w:rPr>
        <w:rFonts w:asciiTheme="minorHAnsi" w:hAnsiTheme="minorHAnsi"/>
      </w:rPr>
      <w:instrText xml:space="preserve"> NUMPAGES  \* Arabic  \* MERGEFORMAT </w:instrText>
    </w:r>
    <w:r w:rsidRPr="00E050EB">
      <w:rPr>
        <w:rFonts w:asciiTheme="minorHAnsi" w:hAnsiTheme="minorHAnsi"/>
      </w:rPr>
      <w:fldChar w:fldCharType="separate"/>
    </w:r>
    <w:r w:rsidR="00176C40">
      <w:rPr>
        <w:rFonts w:asciiTheme="minorHAnsi" w:hAnsiTheme="minorHAnsi"/>
        <w:noProof/>
      </w:rPr>
      <w:t>2</w:t>
    </w:r>
    <w:r w:rsidRPr="00E050EB">
      <w:rPr>
        <w:rFonts w:asciiTheme="minorHAnsi" w:hAnsiTheme="minorHAnsi"/>
        <w:noProof/>
      </w:rPr>
      <w:fldChar w:fldCharType="end"/>
    </w:r>
  </w:p>
  <w:p w:rsidR="00E050EB" w:rsidRDefault="00E050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13F5"/>
    <w:multiLevelType w:val="multilevel"/>
    <w:tmpl w:val="B59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86363"/>
    <w:multiLevelType w:val="multilevel"/>
    <w:tmpl w:val="331AE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CB43DE"/>
    <w:multiLevelType w:val="multilevel"/>
    <w:tmpl w:val="9CF26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6F7245"/>
    <w:multiLevelType w:val="multilevel"/>
    <w:tmpl w:val="24D6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9D03F1"/>
    <w:multiLevelType w:val="multilevel"/>
    <w:tmpl w:val="AA7A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BA462D"/>
    <w:multiLevelType w:val="multilevel"/>
    <w:tmpl w:val="D14CD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42378B"/>
    <w:multiLevelType w:val="multilevel"/>
    <w:tmpl w:val="2E34D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7D03E5"/>
    <w:multiLevelType w:val="multilevel"/>
    <w:tmpl w:val="203E7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A374E8"/>
    <w:multiLevelType w:val="multilevel"/>
    <w:tmpl w:val="72B4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776EB7"/>
    <w:multiLevelType w:val="multilevel"/>
    <w:tmpl w:val="61E4F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A44834"/>
    <w:multiLevelType w:val="multilevel"/>
    <w:tmpl w:val="5E86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C63D23"/>
    <w:multiLevelType w:val="multilevel"/>
    <w:tmpl w:val="4CB6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0B31A5"/>
    <w:multiLevelType w:val="multilevel"/>
    <w:tmpl w:val="7958C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73A50DD"/>
    <w:multiLevelType w:val="multilevel"/>
    <w:tmpl w:val="0B620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74654F"/>
    <w:multiLevelType w:val="multilevel"/>
    <w:tmpl w:val="9888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5842C8"/>
    <w:multiLevelType w:val="multilevel"/>
    <w:tmpl w:val="7B56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AD7C37"/>
    <w:multiLevelType w:val="multilevel"/>
    <w:tmpl w:val="49D4C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E3A1A49"/>
    <w:multiLevelType w:val="multilevel"/>
    <w:tmpl w:val="1F3E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69332C"/>
    <w:multiLevelType w:val="multilevel"/>
    <w:tmpl w:val="CE8A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BD245D"/>
    <w:multiLevelType w:val="multilevel"/>
    <w:tmpl w:val="6CB0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D704B8"/>
    <w:multiLevelType w:val="multilevel"/>
    <w:tmpl w:val="59D0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1750FC"/>
    <w:multiLevelType w:val="multilevel"/>
    <w:tmpl w:val="22321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1D5FB9"/>
    <w:multiLevelType w:val="multilevel"/>
    <w:tmpl w:val="0FEE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7D623D"/>
    <w:multiLevelType w:val="multilevel"/>
    <w:tmpl w:val="0430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C972D1"/>
    <w:multiLevelType w:val="multilevel"/>
    <w:tmpl w:val="0F1E4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8"/>
  </w:num>
  <w:num w:numId="3">
    <w:abstractNumId w:val="4"/>
  </w:num>
  <w:num w:numId="4">
    <w:abstractNumId w:val="23"/>
  </w:num>
  <w:num w:numId="5">
    <w:abstractNumId w:val="5"/>
  </w:num>
  <w:num w:numId="6">
    <w:abstractNumId w:val="16"/>
  </w:num>
  <w:num w:numId="7">
    <w:abstractNumId w:val="20"/>
  </w:num>
  <w:num w:numId="8">
    <w:abstractNumId w:val="10"/>
  </w:num>
  <w:num w:numId="9">
    <w:abstractNumId w:val="12"/>
  </w:num>
  <w:num w:numId="10">
    <w:abstractNumId w:val="14"/>
  </w:num>
  <w:num w:numId="11">
    <w:abstractNumId w:val="24"/>
  </w:num>
  <w:num w:numId="12">
    <w:abstractNumId w:val="19"/>
  </w:num>
  <w:num w:numId="13">
    <w:abstractNumId w:val="15"/>
  </w:num>
  <w:num w:numId="14">
    <w:abstractNumId w:val="17"/>
  </w:num>
  <w:num w:numId="15">
    <w:abstractNumId w:val="9"/>
  </w:num>
  <w:num w:numId="16">
    <w:abstractNumId w:val="21"/>
  </w:num>
  <w:num w:numId="17">
    <w:abstractNumId w:val="3"/>
  </w:num>
  <w:num w:numId="18">
    <w:abstractNumId w:val="0"/>
  </w:num>
  <w:num w:numId="19">
    <w:abstractNumId w:val="6"/>
  </w:num>
  <w:num w:numId="20">
    <w:abstractNumId w:val="1"/>
  </w:num>
  <w:num w:numId="21">
    <w:abstractNumId w:val="7"/>
  </w:num>
  <w:num w:numId="22">
    <w:abstractNumId w:val="2"/>
  </w:num>
  <w:num w:numId="23">
    <w:abstractNumId w:val="8"/>
  </w:num>
  <w:num w:numId="24">
    <w:abstractNumId w:val="2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FC5085"/>
    <w:rsid w:val="00176C40"/>
    <w:rsid w:val="002369D0"/>
    <w:rsid w:val="00271DAF"/>
    <w:rsid w:val="00287D7B"/>
    <w:rsid w:val="0033610A"/>
    <w:rsid w:val="00467353"/>
    <w:rsid w:val="006E44FA"/>
    <w:rsid w:val="007B3EA2"/>
    <w:rsid w:val="00903F48"/>
    <w:rsid w:val="00B735DC"/>
    <w:rsid w:val="00DC5289"/>
    <w:rsid w:val="00E050EB"/>
    <w:rsid w:val="00FC5085"/>
    <w:rsid w:val="00FC7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color w:val="000000"/>
      <w:sz w:val="24"/>
      <w:szCs w:val="24"/>
    </w:rPr>
  </w:style>
  <w:style w:type="paragraph" w:styleId="Heading2">
    <w:name w:val="heading 2"/>
    <w:basedOn w:val="Normal"/>
    <w:link w:val="Heading2Char"/>
    <w:uiPriority w:val="9"/>
    <w:qFormat/>
    <w:pPr>
      <w:spacing w:before="100" w:beforeAutospacing="1" w:after="100" w:afterAutospacing="1"/>
      <w:outlineLvl w:val="1"/>
    </w:pPr>
    <w:rPr>
      <w:rFonts w:ascii="Verdana" w:hAnsi="Verdana"/>
      <w:b/>
      <w:bCs/>
      <w:sz w:val="36"/>
      <w:szCs w:val="36"/>
    </w:rPr>
  </w:style>
  <w:style w:type="paragraph" w:styleId="Heading3">
    <w:name w:val="heading 3"/>
    <w:basedOn w:val="Normal"/>
    <w:link w:val="Heading3Char"/>
    <w:uiPriority w:val="9"/>
    <w:qFormat/>
    <w:pPr>
      <w:spacing w:before="100" w:beforeAutospacing="1" w:after="100" w:afterAutospacing="1"/>
      <w:outlineLvl w:val="2"/>
    </w:pPr>
    <w:rPr>
      <w:rFonts w:ascii="Verdana" w:hAnsi="Verdan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paragraph" w:customStyle="1" w:styleId="pagebreak">
    <w:name w:val="pagebreak"/>
    <w:basedOn w:val="Normal"/>
    <w:pPr>
      <w:pageBreakBefore/>
      <w:spacing w:before="100" w:beforeAutospacing="1" w:after="100" w:afterAutospacing="1"/>
    </w:pPr>
  </w:style>
  <w:style w:type="paragraph" w:customStyle="1" w:styleId="roman">
    <w:name w:val="roman"/>
    <w:basedOn w:val="Normal"/>
    <w:pPr>
      <w:spacing w:before="100" w:beforeAutospacing="1" w:after="100" w:afterAutospacing="1"/>
    </w:pPr>
  </w:style>
  <w:style w:type="paragraph" w:customStyle="1" w:styleId="bitsmaller">
    <w:name w:val="bitsmaller"/>
    <w:basedOn w:val="Normal"/>
    <w:pPr>
      <w:spacing w:before="100" w:beforeAutospacing="1" w:after="100" w:afterAutospacing="1"/>
    </w:pPr>
    <w:rPr>
      <w:sz w:val="20"/>
      <w:szCs w:val="20"/>
    </w:rPr>
  </w:style>
  <w:style w:type="paragraph" w:customStyle="1" w:styleId="myred">
    <w:name w:val="myred"/>
    <w:basedOn w:val="Normal"/>
    <w:pPr>
      <w:spacing w:before="100" w:beforeAutospacing="1" w:after="100" w:afterAutospacing="1"/>
    </w:pPr>
    <w:rPr>
      <w:color w:val="990000"/>
    </w:rPr>
  </w:style>
  <w:style w:type="paragraph" w:customStyle="1" w:styleId="bitlarger">
    <w:name w:val="bitlarger"/>
    <w:basedOn w:val="Normal"/>
    <w:pPr>
      <w:spacing w:before="100" w:beforeAutospacing="1" w:after="100" w:afterAutospacing="1"/>
    </w:pPr>
    <w:rPr>
      <w:sz w:val="27"/>
      <w:szCs w:val="27"/>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rsid w:val="00E050EB"/>
    <w:pPr>
      <w:tabs>
        <w:tab w:val="center" w:pos="4680"/>
        <w:tab w:val="right" w:pos="9360"/>
      </w:tabs>
    </w:pPr>
  </w:style>
  <w:style w:type="character" w:customStyle="1" w:styleId="HeaderChar">
    <w:name w:val="Header Char"/>
    <w:basedOn w:val="DefaultParagraphFont"/>
    <w:link w:val="Header"/>
    <w:uiPriority w:val="99"/>
    <w:rsid w:val="00E050EB"/>
    <w:rPr>
      <w:rFonts w:eastAsiaTheme="minorEastAsia"/>
      <w:color w:val="000000"/>
      <w:sz w:val="24"/>
      <w:szCs w:val="24"/>
    </w:rPr>
  </w:style>
  <w:style w:type="paragraph" w:styleId="Footer">
    <w:name w:val="footer"/>
    <w:basedOn w:val="Normal"/>
    <w:link w:val="FooterChar"/>
    <w:uiPriority w:val="99"/>
    <w:unhideWhenUsed/>
    <w:rsid w:val="00E050EB"/>
    <w:pPr>
      <w:tabs>
        <w:tab w:val="center" w:pos="4680"/>
        <w:tab w:val="right" w:pos="9360"/>
      </w:tabs>
    </w:pPr>
  </w:style>
  <w:style w:type="character" w:customStyle="1" w:styleId="FooterChar">
    <w:name w:val="Footer Char"/>
    <w:basedOn w:val="DefaultParagraphFont"/>
    <w:link w:val="Footer"/>
    <w:uiPriority w:val="99"/>
    <w:rsid w:val="00E050EB"/>
    <w:rPr>
      <w:rFonts w:eastAsiaTheme="minorEastAsia"/>
      <w:color w:val="000000"/>
      <w:sz w:val="24"/>
      <w:szCs w:val="24"/>
    </w:rPr>
  </w:style>
  <w:style w:type="paragraph" w:styleId="BalloonText">
    <w:name w:val="Balloon Text"/>
    <w:basedOn w:val="Normal"/>
    <w:link w:val="BalloonTextChar"/>
    <w:uiPriority w:val="99"/>
    <w:semiHidden/>
    <w:unhideWhenUsed/>
    <w:rsid w:val="00DC5289"/>
    <w:rPr>
      <w:rFonts w:ascii="Tahoma" w:hAnsi="Tahoma" w:cs="Tahoma"/>
      <w:sz w:val="16"/>
      <w:szCs w:val="16"/>
    </w:rPr>
  </w:style>
  <w:style w:type="character" w:customStyle="1" w:styleId="BalloonTextChar">
    <w:name w:val="Balloon Text Char"/>
    <w:basedOn w:val="DefaultParagraphFont"/>
    <w:link w:val="BalloonText"/>
    <w:uiPriority w:val="99"/>
    <w:semiHidden/>
    <w:rsid w:val="00DC5289"/>
    <w:rPr>
      <w:rFonts w:ascii="Tahoma" w:eastAsiaTheme="minorEastAsia" w:hAnsi="Tahoma" w:cs="Tahoma"/>
      <w:color w:val="000000"/>
      <w:sz w:val="16"/>
      <w:szCs w:val="16"/>
    </w:rPr>
  </w:style>
  <w:style w:type="character" w:styleId="Hyperlink">
    <w:name w:val="Hyperlink"/>
    <w:basedOn w:val="DefaultParagraphFont"/>
    <w:uiPriority w:val="99"/>
    <w:semiHidden/>
    <w:unhideWhenUsed/>
    <w:rsid w:val="004673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color w:val="000000"/>
      <w:sz w:val="24"/>
      <w:szCs w:val="24"/>
    </w:rPr>
  </w:style>
  <w:style w:type="paragraph" w:styleId="Heading2">
    <w:name w:val="heading 2"/>
    <w:basedOn w:val="Normal"/>
    <w:link w:val="Heading2Char"/>
    <w:uiPriority w:val="9"/>
    <w:qFormat/>
    <w:pPr>
      <w:spacing w:before="100" w:beforeAutospacing="1" w:after="100" w:afterAutospacing="1"/>
      <w:outlineLvl w:val="1"/>
    </w:pPr>
    <w:rPr>
      <w:rFonts w:ascii="Verdana" w:hAnsi="Verdana"/>
      <w:b/>
      <w:bCs/>
      <w:sz w:val="36"/>
      <w:szCs w:val="36"/>
    </w:rPr>
  </w:style>
  <w:style w:type="paragraph" w:styleId="Heading3">
    <w:name w:val="heading 3"/>
    <w:basedOn w:val="Normal"/>
    <w:link w:val="Heading3Char"/>
    <w:uiPriority w:val="9"/>
    <w:qFormat/>
    <w:pPr>
      <w:spacing w:before="100" w:beforeAutospacing="1" w:after="100" w:afterAutospacing="1"/>
      <w:outlineLvl w:val="2"/>
    </w:pPr>
    <w:rPr>
      <w:rFonts w:ascii="Verdana" w:hAnsi="Verdan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paragraph" w:customStyle="1" w:styleId="pagebreak">
    <w:name w:val="pagebreak"/>
    <w:basedOn w:val="Normal"/>
    <w:pPr>
      <w:pageBreakBefore/>
      <w:spacing w:before="100" w:beforeAutospacing="1" w:after="100" w:afterAutospacing="1"/>
    </w:pPr>
  </w:style>
  <w:style w:type="paragraph" w:customStyle="1" w:styleId="roman">
    <w:name w:val="roman"/>
    <w:basedOn w:val="Normal"/>
    <w:pPr>
      <w:spacing w:before="100" w:beforeAutospacing="1" w:after="100" w:afterAutospacing="1"/>
    </w:pPr>
  </w:style>
  <w:style w:type="paragraph" w:customStyle="1" w:styleId="bitsmaller">
    <w:name w:val="bitsmaller"/>
    <w:basedOn w:val="Normal"/>
    <w:pPr>
      <w:spacing w:before="100" w:beforeAutospacing="1" w:after="100" w:afterAutospacing="1"/>
    </w:pPr>
    <w:rPr>
      <w:sz w:val="20"/>
      <w:szCs w:val="20"/>
    </w:rPr>
  </w:style>
  <w:style w:type="paragraph" w:customStyle="1" w:styleId="myred">
    <w:name w:val="myred"/>
    <w:basedOn w:val="Normal"/>
    <w:pPr>
      <w:spacing w:before="100" w:beforeAutospacing="1" w:after="100" w:afterAutospacing="1"/>
    </w:pPr>
    <w:rPr>
      <w:color w:val="990000"/>
    </w:rPr>
  </w:style>
  <w:style w:type="paragraph" w:customStyle="1" w:styleId="bitlarger">
    <w:name w:val="bitlarger"/>
    <w:basedOn w:val="Normal"/>
    <w:pPr>
      <w:spacing w:before="100" w:beforeAutospacing="1" w:after="100" w:afterAutospacing="1"/>
    </w:pPr>
    <w:rPr>
      <w:sz w:val="27"/>
      <w:szCs w:val="27"/>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rsid w:val="00E050EB"/>
    <w:pPr>
      <w:tabs>
        <w:tab w:val="center" w:pos="4680"/>
        <w:tab w:val="right" w:pos="9360"/>
      </w:tabs>
    </w:pPr>
  </w:style>
  <w:style w:type="character" w:customStyle="1" w:styleId="HeaderChar">
    <w:name w:val="Header Char"/>
    <w:basedOn w:val="DefaultParagraphFont"/>
    <w:link w:val="Header"/>
    <w:uiPriority w:val="99"/>
    <w:rsid w:val="00E050EB"/>
    <w:rPr>
      <w:rFonts w:eastAsiaTheme="minorEastAsia"/>
      <w:color w:val="000000"/>
      <w:sz w:val="24"/>
      <w:szCs w:val="24"/>
    </w:rPr>
  </w:style>
  <w:style w:type="paragraph" w:styleId="Footer">
    <w:name w:val="footer"/>
    <w:basedOn w:val="Normal"/>
    <w:link w:val="FooterChar"/>
    <w:uiPriority w:val="99"/>
    <w:unhideWhenUsed/>
    <w:rsid w:val="00E050EB"/>
    <w:pPr>
      <w:tabs>
        <w:tab w:val="center" w:pos="4680"/>
        <w:tab w:val="right" w:pos="9360"/>
      </w:tabs>
    </w:pPr>
  </w:style>
  <w:style w:type="character" w:customStyle="1" w:styleId="FooterChar">
    <w:name w:val="Footer Char"/>
    <w:basedOn w:val="DefaultParagraphFont"/>
    <w:link w:val="Footer"/>
    <w:uiPriority w:val="99"/>
    <w:rsid w:val="00E050EB"/>
    <w:rPr>
      <w:rFonts w:eastAsiaTheme="minorEastAsia"/>
      <w:color w:val="000000"/>
      <w:sz w:val="24"/>
      <w:szCs w:val="24"/>
    </w:rPr>
  </w:style>
  <w:style w:type="paragraph" w:styleId="BalloonText">
    <w:name w:val="Balloon Text"/>
    <w:basedOn w:val="Normal"/>
    <w:link w:val="BalloonTextChar"/>
    <w:uiPriority w:val="99"/>
    <w:semiHidden/>
    <w:unhideWhenUsed/>
    <w:rsid w:val="00DC5289"/>
    <w:rPr>
      <w:rFonts w:ascii="Tahoma" w:hAnsi="Tahoma" w:cs="Tahoma"/>
      <w:sz w:val="16"/>
      <w:szCs w:val="16"/>
    </w:rPr>
  </w:style>
  <w:style w:type="character" w:customStyle="1" w:styleId="BalloonTextChar">
    <w:name w:val="Balloon Text Char"/>
    <w:basedOn w:val="DefaultParagraphFont"/>
    <w:link w:val="BalloonText"/>
    <w:uiPriority w:val="99"/>
    <w:semiHidden/>
    <w:rsid w:val="00DC5289"/>
    <w:rPr>
      <w:rFonts w:ascii="Tahoma" w:eastAsiaTheme="minorEastAsia" w:hAnsi="Tahoma" w:cs="Tahoma"/>
      <w:color w:val="000000"/>
      <w:sz w:val="16"/>
      <w:szCs w:val="16"/>
    </w:rPr>
  </w:style>
  <w:style w:type="character" w:styleId="Hyperlink">
    <w:name w:val="Hyperlink"/>
    <w:basedOn w:val="DefaultParagraphFont"/>
    <w:uiPriority w:val="99"/>
    <w:semiHidden/>
    <w:unhideWhenUsed/>
    <w:rsid w:val="004673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227328">
      <w:blockQuote w:val="1"/>
      <w:marLeft w:val="720"/>
      <w:marRight w:val="720"/>
      <w:marTop w:val="100"/>
      <w:marBottom w:val="100"/>
      <w:divBdr>
        <w:top w:val="none" w:sz="0" w:space="0" w:color="auto"/>
        <w:left w:val="none" w:sz="0" w:space="0" w:color="auto"/>
        <w:bottom w:val="none" w:sz="0" w:space="0" w:color="auto"/>
        <w:right w:val="none" w:sz="0" w:space="0" w:color="auto"/>
      </w:divBdr>
    </w:div>
    <w:div w:id="877741676">
      <w:marLeft w:val="0"/>
      <w:marRight w:val="0"/>
      <w:marTop w:val="0"/>
      <w:marBottom w:val="0"/>
      <w:divBdr>
        <w:top w:val="none" w:sz="0" w:space="0" w:color="auto"/>
        <w:left w:val="none" w:sz="0" w:space="0" w:color="auto"/>
        <w:bottom w:val="none" w:sz="0" w:space="0" w:color="auto"/>
        <w:right w:val="none" w:sz="0" w:space="0" w:color="auto"/>
      </w:divBdr>
      <w:divsChild>
        <w:div w:id="1860580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59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786</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Phil Weinstein / Accomplishments -- December 2014</vt:lpstr>
    </vt:vector>
  </TitlesOfParts>
  <Company/>
  <LinksUpToDate>false</LinksUpToDate>
  <CharactersWithSpaces>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 Weinstein / Accomplishments -- December 2014</dc:title>
  <dc:creator>Philip J Weinstein</dc:creator>
  <cp:lastModifiedBy>Philip J Weinstein</cp:lastModifiedBy>
  <cp:revision>7</cp:revision>
  <cp:lastPrinted>2015-03-03T02:34:00Z</cp:lastPrinted>
  <dcterms:created xsi:type="dcterms:W3CDTF">2015-03-03T02:23:00Z</dcterms:created>
  <dcterms:modified xsi:type="dcterms:W3CDTF">2015-03-03T02:38:00Z</dcterms:modified>
</cp:coreProperties>
</file>